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F3CEF" w14:textId="77777777" w:rsidR="003C3F2F" w:rsidRDefault="00000000">
      <w:pPr>
        <w:spacing w:before="200" w:after="200"/>
        <w:jc w:val="center"/>
      </w:pPr>
      <w:r>
        <w:rPr>
          <w:b/>
          <w:bCs/>
          <w:sz w:val="32"/>
          <w:szCs w:val="32"/>
        </w:rPr>
        <w:t>REAL ESTATE APPRAISAL FEE PROPOSAL</w:t>
      </w:r>
    </w:p>
    <w:p w14:paraId="60516AF9" w14:textId="77777777" w:rsidR="003C3F2F" w:rsidRDefault="00000000">
      <w:pPr>
        <w:spacing w:after="300"/>
        <w:jc w:val="center"/>
      </w:pPr>
      <w:r>
        <w:rPr>
          <w:i/>
          <w:iCs/>
          <w:sz w:val="24"/>
          <w:szCs w:val="24"/>
        </w:rPr>
        <w:t>For Estate Tax Purposes - Taiwan Properties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3C3F2F" w14:paraId="20167D4B"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Pr>
          <w:p w14:paraId="2E81BD9B" w14:textId="77777777" w:rsidR="003C3F2F" w:rsidRDefault="00000000">
            <w:r>
              <w:t>Contact: Ms. Li</w:t>
            </w:r>
          </w:p>
        </w:tc>
        <w:tc>
          <w:tcPr>
            <w:tcW w:w="4680" w:type="dxa"/>
            <w:tcBorders>
              <w:top w:val="none" w:sz="0" w:space="0" w:color="FFFFFF"/>
              <w:left w:val="none" w:sz="0" w:space="0" w:color="FFFFFF"/>
              <w:bottom w:val="none" w:sz="0" w:space="0" w:color="FFFFFF"/>
              <w:right w:val="none" w:sz="0" w:space="0" w:color="FFFFFF"/>
            </w:tcBorders>
          </w:tcPr>
          <w:p w14:paraId="4253B368" w14:textId="77777777" w:rsidR="003C3F2F" w:rsidRDefault="00000000">
            <w:pPr>
              <w:jc w:val="right"/>
            </w:pPr>
            <w:r>
              <w:rPr>
                <w:b/>
                <w:bCs/>
              </w:rPr>
              <w:t>Proposal No.: HRE-2025-US001</w:t>
            </w:r>
          </w:p>
        </w:tc>
      </w:tr>
      <w:tr w:rsidR="003C3F2F" w14:paraId="61DEA6C0"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Pr>
          <w:p w14:paraId="19D157ED" w14:textId="77777777" w:rsidR="003C3F2F" w:rsidRDefault="00000000">
            <w:r>
              <w:t>Email: service@hre.tw</w:t>
            </w:r>
          </w:p>
        </w:tc>
        <w:tc>
          <w:tcPr>
            <w:tcW w:w="4680" w:type="dxa"/>
            <w:tcBorders>
              <w:top w:val="none" w:sz="0" w:space="0" w:color="FFFFFF"/>
              <w:left w:val="none" w:sz="0" w:space="0" w:color="FFFFFF"/>
              <w:bottom w:val="none" w:sz="0" w:space="0" w:color="FFFFFF"/>
              <w:right w:val="none" w:sz="0" w:space="0" w:color="FFFFFF"/>
            </w:tcBorders>
          </w:tcPr>
          <w:p w14:paraId="0F26E2FC" w14:textId="77777777" w:rsidR="003C3F2F" w:rsidRDefault="003C3F2F"/>
        </w:tc>
      </w:tr>
      <w:tr w:rsidR="003C3F2F" w14:paraId="2D379B85"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Pr>
          <w:p w14:paraId="35AFFF59" w14:textId="77777777" w:rsidR="003C3F2F" w:rsidRDefault="00000000">
            <w:r>
              <w:t>Phone: +886-2-8811-1468 ext. 301</w:t>
            </w:r>
          </w:p>
        </w:tc>
        <w:tc>
          <w:tcPr>
            <w:tcW w:w="4680" w:type="dxa"/>
            <w:tcBorders>
              <w:top w:val="none" w:sz="0" w:space="0" w:color="FFFFFF"/>
              <w:left w:val="none" w:sz="0" w:space="0" w:color="FFFFFF"/>
              <w:bottom w:val="none" w:sz="0" w:space="0" w:color="FFFFFF"/>
              <w:right w:val="none" w:sz="0" w:space="0" w:color="FFFFFF"/>
            </w:tcBorders>
          </w:tcPr>
          <w:p w14:paraId="3BE3CCE1" w14:textId="77777777" w:rsidR="003C3F2F" w:rsidRDefault="003C3F2F"/>
        </w:tc>
      </w:tr>
      <w:tr w:rsidR="003C3F2F" w14:paraId="06D46A6E" w14:textId="77777777">
        <w:tblPrEx>
          <w:tblCellMar>
            <w:top w:w="0" w:type="dxa"/>
            <w:bottom w:w="0" w:type="dxa"/>
          </w:tblCellMar>
        </w:tblPrEx>
        <w:tc>
          <w:tcPr>
            <w:tcW w:w="9360" w:type="dxa"/>
            <w:gridSpan w:val="2"/>
            <w:tcBorders>
              <w:top w:val="none" w:sz="0" w:space="0" w:color="FFFFFF"/>
              <w:left w:val="none" w:sz="0" w:space="0" w:color="FFFFFF"/>
              <w:bottom w:val="none" w:sz="0" w:space="0" w:color="FFFFFF"/>
              <w:right w:val="none" w:sz="0" w:space="0" w:color="FFFFFF"/>
            </w:tcBorders>
          </w:tcPr>
          <w:p w14:paraId="4956179B" w14:textId="77777777" w:rsidR="003C3F2F" w:rsidRDefault="00000000">
            <w:r>
              <w:t xml:space="preserve">Proposal Date: January 14, </w:t>
            </w:r>
            <w:proofErr w:type="gramStart"/>
            <w:r>
              <w:t>2025</w:t>
            </w:r>
            <w:proofErr w:type="gramEnd"/>
            <w:r>
              <w:t xml:space="preserve">   |   Valid for 30 days</w:t>
            </w:r>
          </w:p>
        </w:tc>
      </w:tr>
    </w:tbl>
    <w:p w14:paraId="1E03BEA0" w14:textId="77777777" w:rsidR="003C3F2F" w:rsidRDefault="003C3F2F"/>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3C3F2F" w14:paraId="03B35A92" w14:textId="77777777">
        <w:tblPrEx>
          <w:tblCellMar>
            <w:top w:w="0" w:type="dxa"/>
            <w:bottom w:w="0" w:type="dxa"/>
          </w:tblCellMar>
        </w:tblPrEx>
        <w:tc>
          <w:tcPr>
            <w:tcW w:w="9360" w:type="dxa"/>
            <w:gridSpan w:val="2"/>
            <w:tcBorders>
              <w:top w:val="single" w:sz="1" w:space="0" w:color="000000"/>
              <w:left w:val="single" w:sz="1" w:space="0" w:color="000000"/>
              <w:bottom w:val="single" w:sz="1" w:space="0" w:color="000000"/>
              <w:right w:val="single" w:sz="1" w:space="0" w:color="000000"/>
            </w:tcBorders>
            <w:shd w:val="clear" w:color="auto" w:fill="D9E2F3"/>
          </w:tcPr>
          <w:p w14:paraId="10B4D09A" w14:textId="77777777" w:rsidR="003C3F2F" w:rsidRDefault="00000000">
            <w:r>
              <w:rPr>
                <w:b/>
                <w:bCs/>
              </w:rPr>
              <w:t>I. CLIENT</w:t>
            </w:r>
          </w:p>
        </w:tc>
      </w:tr>
      <w:tr w:rsidR="003C3F2F" w14:paraId="2D83793A" w14:textId="77777777">
        <w:tblPrEx>
          <w:tblCellMar>
            <w:top w:w="0" w:type="dxa"/>
            <w:bottom w:w="0" w:type="dxa"/>
          </w:tblCellMar>
        </w:tblPrEx>
        <w:tc>
          <w:tcPr>
            <w:tcW w:w="3000" w:type="dxa"/>
            <w:tcBorders>
              <w:top w:val="single" w:sz="1" w:space="0" w:color="000000"/>
              <w:left w:val="single" w:sz="1" w:space="0" w:color="000000"/>
              <w:bottom w:val="single" w:sz="1" w:space="0" w:color="000000"/>
              <w:right w:val="single" w:sz="1" w:space="0" w:color="000000"/>
            </w:tcBorders>
          </w:tcPr>
          <w:p w14:paraId="12A6567A" w14:textId="77777777" w:rsidR="003C3F2F" w:rsidRDefault="00000000">
            <w:r>
              <w:rPr>
                <w:b/>
                <w:bCs/>
              </w:rPr>
              <w:t>Company:</w:t>
            </w:r>
          </w:p>
        </w:tc>
        <w:tc>
          <w:tcPr>
            <w:tcW w:w="6360" w:type="dxa"/>
            <w:tcBorders>
              <w:top w:val="single" w:sz="1" w:space="0" w:color="000000"/>
              <w:left w:val="single" w:sz="1" w:space="0" w:color="000000"/>
              <w:bottom w:val="single" w:sz="1" w:space="0" w:color="000000"/>
              <w:right w:val="single" w:sz="1" w:space="0" w:color="000000"/>
            </w:tcBorders>
          </w:tcPr>
          <w:p w14:paraId="12504C15" w14:textId="77777777" w:rsidR="003C3F2F" w:rsidRDefault="00000000">
            <w:r>
              <w:t>Libra Value Partners</w:t>
            </w:r>
          </w:p>
        </w:tc>
      </w:tr>
      <w:tr w:rsidR="003C3F2F" w14:paraId="6BE1D847" w14:textId="77777777">
        <w:tblPrEx>
          <w:tblCellMar>
            <w:top w:w="0" w:type="dxa"/>
            <w:bottom w:w="0" w:type="dxa"/>
          </w:tblCellMar>
        </w:tblPrEx>
        <w:tc>
          <w:tcPr>
            <w:tcW w:w="3000" w:type="dxa"/>
            <w:tcBorders>
              <w:top w:val="single" w:sz="1" w:space="0" w:color="000000"/>
              <w:left w:val="single" w:sz="1" w:space="0" w:color="000000"/>
              <w:bottom w:val="single" w:sz="1" w:space="0" w:color="000000"/>
              <w:right w:val="single" w:sz="1" w:space="0" w:color="000000"/>
            </w:tcBorders>
          </w:tcPr>
          <w:p w14:paraId="27CE775F" w14:textId="77777777" w:rsidR="003C3F2F" w:rsidRDefault="00000000">
            <w:r>
              <w:rPr>
                <w:b/>
                <w:bCs/>
              </w:rPr>
              <w:t>Contact Person:</w:t>
            </w:r>
          </w:p>
        </w:tc>
        <w:tc>
          <w:tcPr>
            <w:tcW w:w="6360" w:type="dxa"/>
            <w:tcBorders>
              <w:top w:val="single" w:sz="1" w:space="0" w:color="000000"/>
              <w:left w:val="single" w:sz="1" w:space="0" w:color="000000"/>
              <w:bottom w:val="single" w:sz="1" w:space="0" w:color="000000"/>
              <w:right w:val="single" w:sz="1" w:space="0" w:color="000000"/>
            </w:tcBorders>
          </w:tcPr>
          <w:p w14:paraId="36C62E0F" w14:textId="77777777" w:rsidR="003C3F2F" w:rsidRDefault="00000000">
            <w:r>
              <w:t>Gordon Lin, Managing Partner</w:t>
            </w:r>
          </w:p>
        </w:tc>
      </w:tr>
      <w:tr w:rsidR="003C3F2F" w14:paraId="3951701F" w14:textId="77777777">
        <w:tblPrEx>
          <w:tblCellMar>
            <w:top w:w="0" w:type="dxa"/>
            <w:bottom w:w="0" w:type="dxa"/>
          </w:tblCellMar>
        </w:tblPrEx>
        <w:tc>
          <w:tcPr>
            <w:tcW w:w="3000" w:type="dxa"/>
            <w:tcBorders>
              <w:top w:val="single" w:sz="1" w:space="0" w:color="000000"/>
              <w:left w:val="single" w:sz="1" w:space="0" w:color="000000"/>
              <w:bottom w:val="single" w:sz="1" w:space="0" w:color="000000"/>
              <w:right w:val="single" w:sz="1" w:space="0" w:color="000000"/>
            </w:tcBorders>
          </w:tcPr>
          <w:p w14:paraId="52330C09" w14:textId="77777777" w:rsidR="003C3F2F" w:rsidRDefault="00000000">
            <w:r>
              <w:rPr>
                <w:b/>
                <w:bCs/>
              </w:rPr>
              <w:t>Phone:</w:t>
            </w:r>
          </w:p>
        </w:tc>
        <w:tc>
          <w:tcPr>
            <w:tcW w:w="6360" w:type="dxa"/>
            <w:tcBorders>
              <w:top w:val="single" w:sz="1" w:space="0" w:color="000000"/>
              <w:left w:val="single" w:sz="1" w:space="0" w:color="000000"/>
              <w:bottom w:val="single" w:sz="1" w:space="0" w:color="000000"/>
              <w:right w:val="single" w:sz="1" w:space="0" w:color="000000"/>
            </w:tcBorders>
          </w:tcPr>
          <w:p w14:paraId="0B619302" w14:textId="77777777" w:rsidR="003C3F2F" w:rsidRDefault="00000000">
            <w:r>
              <w:t>626.376.5544</w:t>
            </w:r>
          </w:p>
        </w:tc>
      </w:tr>
      <w:tr w:rsidR="003C3F2F" w14:paraId="15BA27BF" w14:textId="77777777">
        <w:tblPrEx>
          <w:tblCellMar>
            <w:top w:w="0" w:type="dxa"/>
            <w:bottom w:w="0" w:type="dxa"/>
          </w:tblCellMar>
        </w:tblPrEx>
        <w:tc>
          <w:tcPr>
            <w:tcW w:w="3000" w:type="dxa"/>
            <w:tcBorders>
              <w:top w:val="single" w:sz="1" w:space="0" w:color="000000"/>
              <w:left w:val="single" w:sz="1" w:space="0" w:color="000000"/>
              <w:bottom w:val="single" w:sz="1" w:space="0" w:color="000000"/>
              <w:right w:val="single" w:sz="1" w:space="0" w:color="000000"/>
            </w:tcBorders>
          </w:tcPr>
          <w:p w14:paraId="0447182D" w14:textId="77777777" w:rsidR="003C3F2F" w:rsidRDefault="00000000">
            <w:r>
              <w:rPr>
                <w:b/>
                <w:bCs/>
              </w:rPr>
              <w:t>Email:</w:t>
            </w:r>
          </w:p>
        </w:tc>
        <w:tc>
          <w:tcPr>
            <w:tcW w:w="6360" w:type="dxa"/>
            <w:tcBorders>
              <w:top w:val="single" w:sz="1" w:space="0" w:color="000000"/>
              <w:left w:val="single" w:sz="1" w:space="0" w:color="000000"/>
              <w:bottom w:val="single" w:sz="1" w:space="0" w:color="000000"/>
              <w:right w:val="single" w:sz="1" w:space="0" w:color="000000"/>
            </w:tcBorders>
          </w:tcPr>
          <w:p w14:paraId="367731B1" w14:textId="77777777" w:rsidR="003C3F2F" w:rsidRDefault="00000000">
            <w:r>
              <w:t>glin@libravaluepartners.com</w:t>
            </w:r>
          </w:p>
        </w:tc>
      </w:tr>
      <w:tr w:rsidR="003C3F2F" w14:paraId="2D49AEB5" w14:textId="77777777">
        <w:tblPrEx>
          <w:tblCellMar>
            <w:top w:w="0" w:type="dxa"/>
            <w:bottom w:w="0" w:type="dxa"/>
          </w:tblCellMar>
        </w:tblPrEx>
        <w:tc>
          <w:tcPr>
            <w:tcW w:w="3000" w:type="dxa"/>
            <w:tcBorders>
              <w:top w:val="single" w:sz="1" w:space="0" w:color="000000"/>
              <w:left w:val="single" w:sz="1" w:space="0" w:color="000000"/>
              <w:bottom w:val="single" w:sz="1" w:space="0" w:color="000000"/>
              <w:right w:val="single" w:sz="1" w:space="0" w:color="000000"/>
            </w:tcBorders>
          </w:tcPr>
          <w:p w14:paraId="21939910" w14:textId="77777777" w:rsidR="003C3F2F" w:rsidRDefault="00000000">
            <w:r>
              <w:rPr>
                <w:b/>
                <w:bCs/>
              </w:rPr>
              <w:t>Address:</w:t>
            </w:r>
          </w:p>
        </w:tc>
        <w:tc>
          <w:tcPr>
            <w:tcW w:w="6360" w:type="dxa"/>
            <w:tcBorders>
              <w:top w:val="single" w:sz="1" w:space="0" w:color="000000"/>
              <w:left w:val="single" w:sz="1" w:space="0" w:color="000000"/>
              <w:bottom w:val="single" w:sz="1" w:space="0" w:color="000000"/>
              <w:right w:val="single" w:sz="1" w:space="0" w:color="000000"/>
            </w:tcBorders>
          </w:tcPr>
          <w:p w14:paraId="3663CA03" w14:textId="77777777" w:rsidR="003C3F2F" w:rsidRDefault="00000000">
            <w:r>
              <w:t>15 Enterprise, Suite 250, Aliso Viejo, CA 92656</w:t>
            </w:r>
          </w:p>
        </w:tc>
      </w:tr>
    </w:tbl>
    <w:p w14:paraId="7EC01284" w14:textId="77777777" w:rsidR="003C3F2F" w:rsidRDefault="003C3F2F"/>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gridCol w:w="360"/>
      </w:tblGrid>
      <w:tr w:rsidR="003C3F2F" w14:paraId="158CA5CB" w14:textId="77777777">
        <w:tblPrEx>
          <w:tblCellMar>
            <w:top w:w="0" w:type="dxa"/>
            <w:bottom w:w="0" w:type="dxa"/>
          </w:tblCellMar>
        </w:tblPrEx>
        <w:tc>
          <w:tcPr>
            <w:tcW w:w="9360" w:type="dxa"/>
            <w:gridSpan w:val="2"/>
            <w:tcBorders>
              <w:top w:val="single" w:sz="1" w:space="0" w:color="000000"/>
              <w:left w:val="single" w:sz="1" w:space="0" w:color="000000"/>
              <w:bottom w:val="single" w:sz="1" w:space="0" w:color="000000"/>
              <w:right w:val="single" w:sz="1" w:space="0" w:color="000000"/>
            </w:tcBorders>
            <w:shd w:val="clear" w:color="auto" w:fill="D9E2F3"/>
          </w:tcPr>
          <w:p w14:paraId="29935E12" w14:textId="77777777" w:rsidR="003C3F2F" w:rsidRDefault="00000000">
            <w:r>
              <w:rPr>
                <w:b/>
                <w:bCs/>
              </w:rPr>
              <w:t>II. SUBJECT PROPERTIES</w:t>
            </w:r>
          </w:p>
        </w:tc>
      </w:tr>
      <w:tr w:rsidR="003C3F2F" w14:paraId="00BD435C" w14:textId="77777777">
        <w:tblPrEx>
          <w:tblCellMar>
            <w:top w:w="0" w:type="dxa"/>
            <w:bottom w:w="0" w:type="dxa"/>
          </w:tblCellMar>
        </w:tblPrEx>
        <w:trPr>
          <w:gridAfter w:val="1"/>
          <w:wAfter w:w="360" w:type="dxa"/>
        </w:trPr>
        <w:tc>
          <w:tcPr>
            <w:tcW w:w="9360" w:type="dxa"/>
            <w:tcBorders>
              <w:top w:val="single" w:sz="1" w:space="0" w:color="000000"/>
              <w:left w:val="single" w:sz="1" w:space="0" w:color="000000"/>
              <w:bottom w:val="single" w:sz="1" w:space="0" w:color="000000"/>
              <w:right w:val="single" w:sz="1" w:space="0" w:color="000000"/>
            </w:tcBorders>
          </w:tcPr>
          <w:p w14:paraId="4FC11AA3" w14:textId="77777777" w:rsidR="003C3F2F" w:rsidRDefault="00000000">
            <w:r>
              <w:t>A portfolio of 84 land parcels and 5 building units located in Taipei City, Taiwan, as detailed in the Property Schedule below.</w:t>
            </w:r>
          </w:p>
          <w:p w14:paraId="3E27BA67" w14:textId="77777777" w:rsidR="003C3F2F" w:rsidRDefault="003C3F2F"/>
          <w:p w14:paraId="1526DD6F" w14:textId="77777777" w:rsidR="003C3F2F" w:rsidRDefault="00000000">
            <w:r>
              <w:rPr>
                <w:b/>
                <w:bCs/>
              </w:rPr>
              <w:t>Key Characteristics:</w:t>
            </w:r>
          </w:p>
          <w:p w14:paraId="0F09A0E7" w14:textId="77777777" w:rsidR="003C3F2F" w:rsidRDefault="00000000">
            <w:pPr>
              <w:pStyle w:val="a4"/>
              <w:numPr>
                <w:ilvl w:val="0"/>
                <w:numId w:val="2"/>
              </w:numPr>
            </w:pPr>
            <w:r>
              <w:t>Multiple fractional ownership interests (1/3, 1/6, 1/12, 1/18, 28/486, 29/486, etc.)</w:t>
            </w:r>
          </w:p>
          <w:p w14:paraId="7F6E6C85" w14:textId="77777777" w:rsidR="003C3F2F" w:rsidRDefault="00000000">
            <w:pPr>
              <w:pStyle w:val="a4"/>
              <w:numPr>
                <w:ilvl w:val="0"/>
                <w:numId w:val="2"/>
              </w:numPr>
            </w:pPr>
            <w:r>
              <w:t>Various zoning designations: residential, commercial, industrial, road reservation, MRT system, etc.</w:t>
            </w:r>
          </w:p>
          <w:p w14:paraId="4A4629C5" w14:textId="77777777" w:rsidR="003C3F2F" w:rsidRDefault="00000000">
            <w:pPr>
              <w:pStyle w:val="a4"/>
              <w:numPr>
                <w:ilvl w:val="0"/>
                <w:numId w:val="2"/>
              </w:numPr>
            </w:pPr>
            <w:r>
              <w:t>Properties spread across 6 districts in Taipei City</w:t>
            </w:r>
          </w:p>
        </w:tc>
      </w:tr>
    </w:tbl>
    <w:p w14:paraId="77CDDD43" w14:textId="77777777" w:rsidR="003C3F2F" w:rsidRDefault="003C3F2F"/>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3C3F2F" w14:paraId="4ADC7A68" w14:textId="77777777">
        <w:tblPrEx>
          <w:tblCellMar>
            <w:top w:w="0" w:type="dxa"/>
            <w:bottom w:w="0" w:type="dxa"/>
          </w:tblCellMar>
        </w:tblPrEx>
        <w:tc>
          <w:tcPr>
            <w:tcW w:w="9360" w:type="dxa"/>
            <w:gridSpan w:val="2"/>
            <w:tcBorders>
              <w:top w:val="single" w:sz="1" w:space="0" w:color="000000"/>
              <w:left w:val="single" w:sz="1" w:space="0" w:color="000000"/>
              <w:bottom w:val="single" w:sz="1" w:space="0" w:color="000000"/>
              <w:right w:val="single" w:sz="1" w:space="0" w:color="000000"/>
            </w:tcBorders>
            <w:shd w:val="clear" w:color="auto" w:fill="D9E2F3"/>
          </w:tcPr>
          <w:p w14:paraId="2FAE4010" w14:textId="77777777" w:rsidR="003C3F2F" w:rsidRDefault="00000000">
            <w:r>
              <w:rPr>
                <w:b/>
                <w:bCs/>
              </w:rPr>
              <w:t>III. SCOPE OF APPRAISAL</w:t>
            </w:r>
          </w:p>
        </w:tc>
      </w:tr>
      <w:tr w:rsidR="003C3F2F" w14:paraId="33FD43AB" w14:textId="77777777">
        <w:tblPrEx>
          <w:tblCellMar>
            <w:top w:w="0" w:type="dxa"/>
            <w:bottom w:w="0" w:type="dxa"/>
          </w:tblCellMar>
        </w:tblPrEx>
        <w:tc>
          <w:tcPr>
            <w:tcW w:w="3000" w:type="dxa"/>
            <w:tcBorders>
              <w:top w:val="single" w:sz="1" w:space="0" w:color="000000"/>
              <w:left w:val="single" w:sz="1" w:space="0" w:color="000000"/>
              <w:bottom w:val="single" w:sz="1" w:space="0" w:color="000000"/>
              <w:right w:val="single" w:sz="1" w:space="0" w:color="000000"/>
            </w:tcBorders>
          </w:tcPr>
          <w:p w14:paraId="0750C465" w14:textId="77777777" w:rsidR="003C3F2F" w:rsidRDefault="00000000">
            <w:r>
              <w:rPr>
                <w:b/>
                <w:bCs/>
              </w:rPr>
              <w:t>Purpose of Appraisal:</w:t>
            </w:r>
          </w:p>
        </w:tc>
        <w:tc>
          <w:tcPr>
            <w:tcW w:w="6360" w:type="dxa"/>
            <w:tcBorders>
              <w:top w:val="single" w:sz="1" w:space="0" w:color="000000"/>
              <w:left w:val="single" w:sz="1" w:space="0" w:color="000000"/>
              <w:bottom w:val="single" w:sz="1" w:space="0" w:color="000000"/>
              <w:right w:val="single" w:sz="1" w:space="0" w:color="000000"/>
            </w:tcBorders>
          </w:tcPr>
          <w:p w14:paraId="408B1DA6" w14:textId="77777777" w:rsidR="003C3F2F" w:rsidRDefault="00000000">
            <w:r>
              <w:t>Estate Tax Valuation for U.S. IRS Filing</w:t>
            </w:r>
          </w:p>
        </w:tc>
      </w:tr>
      <w:tr w:rsidR="003C3F2F" w14:paraId="6129A4BE" w14:textId="77777777">
        <w:tblPrEx>
          <w:tblCellMar>
            <w:top w:w="0" w:type="dxa"/>
            <w:bottom w:w="0" w:type="dxa"/>
          </w:tblCellMar>
        </w:tblPrEx>
        <w:tc>
          <w:tcPr>
            <w:tcW w:w="3000" w:type="dxa"/>
            <w:tcBorders>
              <w:top w:val="single" w:sz="1" w:space="0" w:color="000000"/>
              <w:left w:val="single" w:sz="1" w:space="0" w:color="000000"/>
              <w:bottom w:val="single" w:sz="1" w:space="0" w:color="000000"/>
              <w:right w:val="single" w:sz="1" w:space="0" w:color="000000"/>
            </w:tcBorders>
          </w:tcPr>
          <w:p w14:paraId="1619D336" w14:textId="77777777" w:rsidR="003C3F2F" w:rsidRDefault="00000000">
            <w:r>
              <w:rPr>
                <w:b/>
                <w:bCs/>
              </w:rPr>
              <w:t>Type of Value:</w:t>
            </w:r>
          </w:p>
        </w:tc>
        <w:tc>
          <w:tcPr>
            <w:tcW w:w="6360" w:type="dxa"/>
            <w:tcBorders>
              <w:top w:val="single" w:sz="1" w:space="0" w:color="000000"/>
              <w:left w:val="single" w:sz="1" w:space="0" w:color="000000"/>
              <w:bottom w:val="single" w:sz="1" w:space="0" w:color="000000"/>
              <w:right w:val="single" w:sz="1" w:space="0" w:color="000000"/>
            </w:tcBorders>
          </w:tcPr>
          <w:p w14:paraId="77C87B28" w14:textId="77777777" w:rsidR="003C3F2F" w:rsidRDefault="00000000">
            <w:r>
              <w:t>Market Value (Fair Market Value)</w:t>
            </w:r>
          </w:p>
        </w:tc>
      </w:tr>
      <w:tr w:rsidR="003C3F2F" w14:paraId="302D51D5" w14:textId="77777777">
        <w:tblPrEx>
          <w:tblCellMar>
            <w:top w:w="0" w:type="dxa"/>
            <w:bottom w:w="0" w:type="dxa"/>
          </w:tblCellMar>
        </w:tblPrEx>
        <w:tc>
          <w:tcPr>
            <w:tcW w:w="3000" w:type="dxa"/>
            <w:tcBorders>
              <w:top w:val="single" w:sz="1" w:space="0" w:color="000000"/>
              <w:left w:val="single" w:sz="1" w:space="0" w:color="000000"/>
              <w:bottom w:val="single" w:sz="1" w:space="0" w:color="000000"/>
              <w:right w:val="single" w:sz="1" w:space="0" w:color="000000"/>
            </w:tcBorders>
          </w:tcPr>
          <w:p w14:paraId="15A1E691" w14:textId="77777777" w:rsidR="003C3F2F" w:rsidRDefault="00000000">
            <w:r>
              <w:rPr>
                <w:b/>
                <w:bCs/>
              </w:rPr>
              <w:t>Effective Date:</w:t>
            </w:r>
          </w:p>
        </w:tc>
        <w:tc>
          <w:tcPr>
            <w:tcW w:w="6360" w:type="dxa"/>
            <w:tcBorders>
              <w:top w:val="single" w:sz="1" w:space="0" w:color="000000"/>
              <w:left w:val="single" w:sz="1" w:space="0" w:color="000000"/>
              <w:bottom w:val="single" w:sz="1" w:space="0" w:color="000000"/>
              <w:right w:val="single" w:sz="1" w:space="0" w:color="000000"/>
            </w:tcBorders>
          </w:tcPr>
          <w:p w14:paraId="7F16FE79" w14:textId="77777777" w:rsidR="003C3F2F" w:rsidRDefault="00000000">
            <w:r>
              <w:t>May 27, 2025</w:t>
            </w:r>
          </w:p>
        </w:tc>
      </w:tr>
      <w:tr w:rsidR="003C3F2F" w14:paraId="1DAC59DF" w14:textId="77777777">
        <w:tblPrEx>
          <w:tblCellMar>
            <w:top w:w="0" w:type="dxa"/>
            <w:bottom w:w="0" w:type="dxa"/>
          </w:tblCellMar>
        </w:tblPrEx>
        <w:tc>
          <w:tcPr>
            <w:tcW w:w="3000" w:type="dxa"/>
            <w:tcBorders>
              <w:top w:val="single" w:sz="1" w:space="0" w:color="000000"/>
              <w:left w:val="single" w:sz="1" w:space="0" w:color="000000"/>
              <w:bottom w:val="single" w:sz="1" w:space="0" w:color="000000"/>
              <w:right w:val="single" w:sz="1" w:space="0" w:color="000000"/>
            </w:tcBorders>
          </w:tcPr>
          <w:p w14:paraId="55A9252E" w14:textId="77777777" w:rsidR="003C3F2F" w:rsidRDefault="00000000">
            <w:r>
              <w:rPr>
                <w:b/>
                <w:bCs/>
              </w:rPr>
              <w:t>Report Language:</w:t>
            </w:r>
          </w:p>
        </w:tc>
        <w:tc>
          <w:tcPr>
            <w:tcW w:w="6360" w:type="dxa"/>
            <w:tcBorders>
              <w:top w:val="single" w:sz="1" w:space="0" w:color="000000"/>
              <w:left w:val="single" w:sz="1" w:space="0" w:color="000000"/>
              <w:bottom w:val="single" w:sz="1" w:space="0" w:color="000000"/>
              <w:right w:val="single" w:sz="1" w:space="0" w:color="000000"/>
            </w:tcBorders>
          </w:tcPr>
          <w:p w14:paraId="55043684" w14:textId="77777777" w:rsidR="003C3F2F" w:rsidRDefault="00000000">
            <w:r>
              <w:t>English</w:t>
            </w:r>
          </w:p>
        </w:tc>
      </w:tr>
      <w:tr w:rsidR="003C3F2F" w14:paraId="106F1935" w14:textId="77777777">
        <w:tblPrEx>
          <w:tblCellMar>
            <w:top w:w="0" w:type="dxa"/>
            <w:bottom w:w="0" w:type="dxa"/>
          </w:tblCellMar>
        </w:tblPrEx>
        <w:tc>
          <w:tcPr>
            <w:tcW w:w="3000" w:type="dxa"/>
            <w:tcBorders>
              <w:top w:val="single" w:sz="1" w:space="0" w:color="000000"/>
              <w:left w:val="single" w:sz="1" w:space="0" w:color="000000"/>
              <w:bottom w:val="single" w:sz="1" w:space="0" w:color="000000"/>
              <w:right w:val="single" w:sz="1" w:space="0" w:color="000000"/>
            </w:tcBorders>
          </w:tcPr>
          <w:p w14:paraId="78007369" w14:textId="77777777" w:rsidR="003C3F2F" w:rsidRDefault="00000000">
            <w:r>
              <w:rPr>
                <w:b/>
                <w:bCs/>
              </w:rPr>
              <w:t>Appraisal Standards:</w:t>
            </w:r>
          </w:p>
        </w:tc>
        <w:tc>
          <w:tcPr>
            <w:tcW w:w="6360" w:type="dxa"/>
            <w:tcBorders>
              <w:top w:val="single" w:sz="1" w:space="0" w:color="000000"/>
              <w:left w:val="single" w:sz="1" w:space="0" w:color="000000"/>
              <w:bottom w:val="single" w:sz="1" w:space="0" w:color="000000"/>
              <w:right w:val="single" w:sz="1" w:space="0" w:color="000000"/>
            </w:tcBorders>
          </w:tcPr>
          <w:p w14:paraId="44587436" w14:textId="77777777" w:rsidR="003C3F2F" w:rsidRDefault="00000000">
            <w:r>
              <w:t>Taiwan Real Estate Appraisal Regulations</w:t>
            </w:r>
          </w:p>
        </w:tc>
      </w:tr>
      <w:tr w:rsidR="003C3F2F" w14:paraId="4172B906" w14:textId="77777777">
        <w:tblPrEx>
          <w:tblCellMar>
            <w:top w:w="0" w:type="dxa"/>
            <w:bottom w:w="0" w:type="dxa"/>
          </w:tblCellMar>
        </w:tblPrEx>
        <w:tc>
          <w:tcPr>
            <w:tcW w:w="3000" w:type="dxa"/>
            <w:tcBorders>
              <w:top w:val="single" w:sz="1" w:space="0" w:color="000000"/>
              <w:left w:val="single" w:sz="1" w:space="0" w:color="000000"/>
              <w:bottom w:val="single" w:sz="1" w:space="0" w:color="000000"/>
              <w:right w:val="single" w:sz="1" w:space="0" w:color="000000"/>
            </w:tcBorders>
          </w:tcPr>
          <w:p w14:paraId="1126B4B6" w14:textId="77777777" w:rsidR="003C3F2F" w:rsidRDefault="00000000">
            <w:r>
              <w:rPr>
                <w:b/>
                <w:bCs/>
              </w:rPr>
              <w:t>Special Considerations:</w:t>
            </w:r>
          </w:p>
        </w:tc>
        <w:tc>
          <w:tcPr>
            <w:tcW w:w="6360" w:type="dxa"/>
            <w:tcBorders>
              <w:top w:val="single" w:sz="1" w:space="0" w:color="000000"/>
              <w:left w:val="single" w:sz="1" w:space="0" w:color="000000"/>
              <w:bottom w:val="single" w:sz="1" w:space="0" w:color="000000"/>
              <w:right w:val="single" w:sz="1" w:space="0" w:color="000000"/>
            </w:tcBorders>
          </w:tcPr>
          <w:p w14:paraId="14EF7546" w14:textId="77777777" w:rsidR="003C3F2F" w:rsidRDefault="00000000">
            <w:r>
              <w:t>Fractional ownership discount analysis will be included where applicable</w:t>
            </w:r>
          </w:p>
        </w:tc>
      </w:tr>
    </w:tbl>
    <w:p w14:paraId="6930F6AA" w14:textId="77777777" w:rsidR="003C3F2F" w:rsidRDefault="003C3F2F"/>
    <w:p w14:paraId="1673CFA5" w14:textId="77777777" w:rsidR="003C3F2F" w:rsidRDefault="00000000">
      <w:r>
        <w:rPr>
          <w:b/>
          <w:bCs/>
          <w:sz w:val="24"/>
          <w:szCs w:val="24"/>
        </w:rPr>
        <w:t>IV. FEE SCHEDULE</w:t>
      </w:r>
    </w:p>
    <w:p w14:paraId="73F1B864" w14:textId="77777777" w:rsidR="003C3F2F" w:rsidRDefault="003C3F2F">
      <w:pPr>
        <w:spacing w:after="12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4200"/>
        <w:gridCol w:w="1100"/>
        <w:gridCol w:w="1100"/>
        <w:gridCol w:w="1180"/>
        <w:gridCol w:w="1180"/>
      </w:tblGrid>
      <w:tr w:rsidR="003C3F2F" w14:paraId="2A280864" w14:textId="77777777" w:rsidTr="008112C7">
        <w:tblPrEx>
          <w:tblCellMar>
            <w:top w:w="0" w:type="dxa"/>
            <w:bottom w:w="0" w:type="dxa"/>
          </w:tblCellMar>
        </w:tblPrEx>
        <w:trPr>
          <w:tblHeader/>
        </w:trPr>
        <w:tc>
          <w:tcPr>
            <w:tcW w:w="600" w:type="dxa"/>
            <w:tcBorders>
              <w:top w:val="single" w:sz="1" w:space="0" w:color="000000"/>
              <w:left w:val="single" w:sz="1" w:space="0" w:color="000000"/>
              <w:bottom w:val="single" w:sz="1" w:space="0" w:color="000000"/>
              <w:right w:val="single" w:sz="1" w:space="0" w:color="000000"/>
            </w:tcBorders>
            <w:shd w:val="clear" w:color="auto" w:fill="D9E2F3"/>
          </w:tcPr>
          <w:p w14:paraId="1B3BD129" w14:textId="77777777" w:rsidR="003C3F2F" w:rsidRDefault="00000000">
            <w:pPr>
              <w:jc w:val="center"/>
            </w:pPr>
            <w:r>
              <w:rPr>
                <w:b/>
                <w:bCs/>
              </w:rPr>
              <w:t>#</w:t>
            </w:r>
          </w:p>
        </w:tc>
        <w:tc>
          <w:tcPr>
            <w:tcW w:w="4200" w:type="dxa"/>
            <w:tcBorders>
              <w:top w:val="single" w:sz="1" w:space="0" w:color="000000"/>
              <w:left w:val="single" w:sz="1" w:space="0" w:color="000000"/>
              <w:bottom w:val="single" w:sz="1" w:space="0" w:color="000000"/>
              <w:right w:val="single" w:sz="1" w:space="0" w:color="000000"/>
            </w:tcBorders>
            <w:shd w:val="clear" w:color="auto" w:fill="D9E2F3"/>
          </w:tcPr>
          <w:p w14:paraId="60D3DD0C" w14:textId="77777777" w:rsidR="003C3F2F" w:rsidRDefault="00000000">
            <w:r>
              <w:rPr>
                <w:b/>
                <w:bCs/>
              </w:rPr>
              <w:t>Location / Description</w:t>
            </w:r>
          </w:p>
        </w:tc>
        <w:tc>
          <w:tcPr>
            <w:tcW w:w="1100" w:type="dxa"/>
            <w:tcBorders>
              <w:top w:val="single" w:sz="1" w:space="0" w:color="000000"/>
              <w:left w:val="single" w:sz="1" w:space="0" w:color="000000"/>
              <w:bottom w:val="single" w:sz="1" w:space="0" w:color="000000"/>
              <w:right w:val="single" w:sz="1" w:space="0" w:color="000000"/>
            </w:tcBorders>
            <w:shd w:val="clear" w:color="auto" w:fill="D9E2F3"/>
          </w:tcPr>
          <w:p w14:paraId="3AD3F651" w14:textId="77777777" w:rsidR="003C3F2F" w:rsidRDefault="00000000">
            <w:pPr>
              <w:jc w:val="center"/>
            </w:pPr>
            <w:r>
              <w:rPr>
                <w:b/>
                <w:bCs/>
              </w:rPr>
              <w:t>Land Lots</w:t>
            </w:r>
          </w:p>
        </w:tc>
        <w:tc>
          <w:tcPr>
            <w:tcW w:w="1100" w:type="dxa"/>
            <w:tcBorders>
              <w:top w:val="single" w:sz="1" w:space="0" w:color="000000"/>
              <w:left w:val="single" w:sz="1" w:space="0" w:color="000000"/>
              <w:bottom w:val="single" w:sz="1" w:space="0" w:color="000000"/>
              <w:right w:val="single" w:sz="1" w:space="0" w:color="000000"/>
            </w:tcBorders>
            <w:shd w:val="clear" w:color="auto" w:fill="D9E2F3"/>
          </w:tcPr>
          <w:p w14:paraId="709D5CE9" w14:textId="77777777" w:rsidR="003C3F2F" w:rsidRDefault="00000000">
            <w:pPr>
              <w:jc w:val="center"/>
            </w:pPr>
            <w:r>
              <w:rPr>
                <w:b/>
                <w:bCs/>
              </w:rPr>
              <w:t>Buildings</w:t>
            </w:r>
          </w:p>
        </w:tc>
        <w:tc>
          <w:tcPr>
            <w:tcW w:w="1180" w:type="dxa"/>
            <w:tcBorders>
              <w:top w:val="single" w:sz="1" w:space="0" w:color="000000"/>
              <w:left w:val="single" w:sz="1" w:space="0" w:color="000000"/>
              <w:bottom w:val="single" w:sz="1" w:space="0" w:color="000000"/>
              <w:right w:val="single" w:sz="1" w:space="0" w:color="000000"/>
            </w:tcBorders>
            <w:shd w:val="clear" w:color="auto" w:fill="D9E2F3"/>
          </w:tcPr>
          <w:p w14:paraId="60024E87" w14:textId="77777777" w:rsidR="003C3F2F" w:rsidRDefault="00000000">
            <w:pPr>
              <w:jc w:val="center"/>
            </w:pPr>
            <w:r>
              <w:rPr>
                <w:b/>
                <w:bCs/>
              </w:rPr>
              <w:t>Fee (TWD)</w:t>
            </w:r>
          </w:p>
        </w:tc>
        <w:tc>
          <w:tcPr>
            <w:tcW w:w="1180" w:type="dxa"/>
            <w:tcBorders>
              <w:top w:val="single" w:sz="1" w:space="0" w:color="000000"/>
              <w:left w:val="single" w:sz="1" w:space="0" w:color="000000"/>
              <w:bottom w:val="single" w:sz="1" w:space="0" w:color="000000"/>
              <w:right w:val="single" w:sz="1" w:space="0" w:color="000000"/>
            </w:tcBorders>
            <w:shd w:val="clear" w:color="auto" w:fill="D9E2F3"/>
          </w:tcPr>
          <w:p w14:paraId="538B82DC" w14:textId="77777777" w:rsidR="003C3F2F" w:rsidRDefault="00000000">
            <w:pPr>
              <w:jc w:val="center"/>
            </w:pPr>
            <w:r>
              <w:rPr>
                <w:b/>
                <w:bCs/>
              </w:rPr>
              <w:t>Fee (USD)</w:t>
            </w:r>
          </w:p>
        </w:tc>
      </w:tr>
      <w:tr w:rsidR="003C3F2F" w14:paraId="1598EBDD" w14:textId="77777777">
        <w:tblPrEx>
          <w:tblCellMar>
            <w:top w:w="0" w:type="dxa"/>
            <w:bottom w:w="0" w:type="dxa"/>
          </w:tblCellMar>
        </w:tblPrEx>
        <w:tc>
          <w:tcPr>
            <w:tcW w:w="600" w:type="dxa"/>
            <w:tcBorders>
              <w:top w:val="single" w:sz="1" w:space="0" w:color="000000"/>
              <w:left w:val="single" w:sz="1" w:space="0" w:color="000000"/>
              <w:bottom w:val="single" w:sz="1" w:space="0" w:color="000000"/>
              <w:right w:val="single" w:sz="1" w:space="0" w:color="000000"/>
            </w:tcBorders>
          </w:tcPr>
          <w:p w14:paraId="5CD6AF54" w14:textId="77777777" w:rsidR="003C3F2F" w:rsidRDefault="00000000">
            <w:pPr>
              <w:jc w:val="center"/>
            </w:pPr>
            <w:r>
              <w:t>1</w:t>
            </w:r>
          </w:p>
        </w:tc>
        <w:tc>
          <w:tcPr>
            <w:tcW w:w="4200" w:type="dxa"/>
            <w:tcBorders>
              <w:top w:val="single" w:sz="1" w:space="0" w:color="000000"/>
              <w:left w:val="single" w:sz="1" w:space="0" w:color="000000"/>
              <w:bottom w:val="single" w:sz="1" w:space="0" w:color="000000"/>
              <w:right w:val="single" w:sz="1" w:space="0" w:color="000000"/>
            </w:tcBorders>
          </w:tcPr>
          <w:p w14:paraId="331122E7" w14:textId="77777777" w:rsidR="003C3F2F" w:rsidRDefault="00000000">
            <w:r>
              <w:rPr>
                <w:sz w:val="20"/>
                <w:szCs w:val="20"/>
              </w:rPr>
              <w:t>5F-2, No. 17, Ln. 93, Sec. 2, Zhongshan N. Rd., Zhongshan Dist., Taipei (Apartment, 1/3 undivided interest)</w:t>
            </w:r>
          </w:p>
        </w:tc>
        <w:tc>
          <w:tcPr>
            <w:tcW w:w="1100" w:type="dxa"/>
            <w:tcBorders>
              <w:top w:val="single" w:sz="1" w:space="0" w:color="000000"/>
              <w:left w:val="single" w:sz="1" w:space="0" w:color="000000"/>
              <w:bottom w:val="single" w:sz="1" w:space="0" w:color="000000"/>
              <w:right w:val="single" w:sz="1" w:space="0" w:color="000000"/>
            </w:tcBorders>
          </w:tcPr>
          <w:p w14:paraId="3374B549" w14:textId="77777777" w:rsidR="003C3F2F" w:rsidRDefault="00000000">
            <w:pPr>
              <w:jc w:val="center"/>
            </w:pPr>
            <w:r>
              <w:t>1</w:t>
            </w:r>
          </w:p>
        </w:tc>
        <w:tc>
          <w:tcPr>
            <w:tcW w:w="1100" w:type="dxa"/>
            <w:tcBorders>
              <w:top w:val="single" w:sz="1" w:space="0" w:color="000000"/>
              <w:left w:val="single" w:sz="1" w:space="0" w:color="000000"/>
              <w:bottom w:val="single" w:sz="1" w:space="0" w:color="000000"/>
              <w:right w:val="single" w:sz="1" w:space="0" w:color="000000"/>
            </w:tcBorders>
          </w:tcPr>
          <w:p w14:paraId="1F5B824B" w14:textId="77777777" w:rsidR="003C3F2F" w:rsidRDefault="00000000">
            <w:pPr>
              <w:jc w:val="center"/>
            </w:pPr>
            <w:r>
              <w:t>1</w:t>
            </w:r>
          </w:p>
        </w:tc>
        <w:tc>
          <w:tcPr>
            <w:tcW w:w="1180" w:type="dxa"/>
            <w:tcBorders>
              <w:top w:val="single" w:sz="1" w:space="0" w:color="000000"/>
              <w:left w:val="single" w:sz="1" w:space="0" w:color="000000"/>
              <w:bottom w:val="single" w:sz="1" w:space="0" w:color="000000"/>
              <w:right w:val="single" w:sz="1" w:space="0" w:color="000000"/>
            </w:tcBorders>
          </w:tcPr>
          <w:p w14:paraId="14A249BF" w14:textId="77777777" w:rsidR="003C3F2F" w:rsidRDefault="00000000">
            <w:pPr>
              <w:jc w:val="right"/>
            </w:pPr>
            <w:r>
              <w:t>75,000</w:t>
            </w:r>
          </w:p>
        </w:tc>
        <w:tc>
          <w:tcPr>
            <w:tcW w:w="1180" w:type="dxa"/>
            <w:tcBorders>
              <w:top w:val="single" w:sz="1" w:space="0" w:color="000000"/>
              <w:left w:val="single" w:sz="1" w:space="0" w:color="000000"/>
              <w:bottom w:val="single" w:sz="1" w:space="0" w:color="000000"/>
              <w:right w:val="single" w:sz="1" w:space="0" w:color="000000"/>
            </w:tcBorders>
          </w:tcPr>
          <w:p w14:paraId="30F3D757" w14:textId="77777777" w:rsidR="003C3F2F" w:rsidRDefault="00000000">
            <w:pPr>
              <w:jc w:val="right"/>
            </w:pPr>
            <w:r>
              <w:t>2,400</w:t>
            </w:r>
          </w:p>
        </w:tc>
      </w:tr>
      <w:tr w:rsidR="003C3F2F" w14:paraId="19D2B5E8" w14:textId="77777777">
        <w:tblPrEx>
          <w:tblCellMar>
            <w:top w:w="0" w:type="dxa"/>
            <w:bottom w:w="0" w:type="dxa"/>
          </w:tblCellMar>
        </w:tblPrEx>
        <w:tc>
          <w:tcPr>
            <w:tcW w:w="600" w:type="dxa"/>
            <w:tcBorders>
              <w:top w:val="single" w:sz="1" w:space="0" w:color="000000"/>
              <w:left w:val="single" w:sz="1" w:space="0" w:color="000000"/>
              <w:bottom w:val="single" w:sz="1" w:space="0" w:color="000000"/>
              <w:right w:val="single" w:sz="1" w:space="0" w:color="000000"/>
            </w:tcBorders>
          </w:tcPr>
          <w:p w14:paraId="269D4D29" w14:textId="77777777" w:rsidR="003C3F2F" w:rsidRDefault="00000000">
            <w:pPr>
              <w:jc w:val="center"/>
            </w:pPr>
            <w:r>
              <w:t>2</w:t>
            </w:r>
          </w:p>
        </w:tc>
        <w:tc>
          <w:tcPr>
            <w:tcW w:w="4200" w:type="dxa"/>
            <w:tcBorders>
              <w:top w:val="single" w:sz="1" w:space="0" w:color="000000"/>
              <w:left w:val="single" w:sz="1" w:space="0" w:color="000000"/>
              <w:bottom w:val="single" w:sz="1" w:space="0" w:color="000000"/>
              <w:right w:val="single" w:sz="1" w:space="0" w:color="000000"/>
            </w:tcBorders>
          </w:tcPr>
          <w:p w14:paraId="7BA5E97E" w14:textId="77777777" w:rsidR="003C3F2F" w:rsidRDefault="00000000">
            <w:r>
              <w:rPr>
                <w:sz w:val="20"/>
                <w:szCs w:val="20"/>
              </w:rPr>
              <w:t>No. 133-1 &amp; 133-2, Sec. 3, Chongqing N. Rd., Datong Dist., Taipei (Whole building, 100% ownership)</w:t>
            </w:r>
          </w:p>
        </w:tc>
        <w:tc>
          <w:tcPr>
            <w:tcW w:w="1100" w:type="dxa"/>
            <w:tcBorders>
              <w:top w:val="single" w:sz="1" w:space="0" w:color="000000"/>
              <w:left w:val="single" w:sz="1" w:space="0" w:color="000000"/>
              <w:bottom w:val="single" w:sz="1" w:space="0" w:color="000000"/>
              <w:right w:val="single" w:sz="1" w:space="0" w:color="000000"/>
            </w:tcBorders>
          </w:tcPr>
          <w:p w14:paraId="26FB918B" w14:textId="77777777" w:rsidR="003C3F2F" w:rsidRDefault="00000000">
            <w:pPr>
              <w:jc w:val="center"/>
            </w:pPr>
            <w:r>
              <w:t>1</w:t>
            </w:r>
          </w:p>
        </w:tc>
        <w:tc>
          <w:tcPr>
            <w:tcW w:w="1100" w:type="dxa"/>
            <w:tcBorders>
              <w:top w:val="single" w:sz="1" w:space="0" w:color="000000"/>
              <w:left w:val="single" w:sz="1" w:space="0" w:color="000000"/>
              <w:bottom w:val="single" w:sz="1" w:space="0" w:color="000000"/>
              <w:right w:val="single" w:sz="1" w:space="0" w:color="000000"/>
            </w:tcBorders>
          </w:tcPr>
          <w:p w14:paraId="1C0B4442" w14:textId="77777777" w:rsidR="003C3F2F" w:rsidRDefault="00000000">
            <w:pPr>
              <w:jc w:val="center"/>
            </w:pPr>
            <w:r>
              <w:t>4</w:t>
            </w:r>
          </w:p>
        </w:tc>
        <w:tc>
          <w:tcPr>
            <w:tcW w:w="1180" w:type="dxa"/>
            <w:tcBorders>
              <w:top w:val="single" w:sz="1" w:space="0" w:color="000000"/>
              <w:left w:val="single" w:sz="1" w:space="0" w:color="000000"/>
              <w:bottom w:val="single" w:sz="1" w:space="0" w:color="000000"/>
              <w:right w:val="single" w:sz="1" w:space="0" w:color="000000"/>
            </w:tcBorders>
          </w:tcPr>
          <w:p w14:paraId="77466BBE" w14:textId="77777777" w:rsidR="003C3F2F" w:rsidRDefault="00000000">
            <w:pPr>
              <w:jc w:val="right"/>
            </w:pPr>
            <w:r>
              <w:t>75,000</w:t>
            </w:r>
          </w:p>
        </w:tc>
        <w:tc>
          <w:tcPr>
            <w:tcW w:w="1180" w:type="dxa"/>
            <w:tcBorders>
              <w:top w:val="single" w:sz="1" w:space="0" w:color="000000"/>
              <w:left w:val="single" w:sz="1" w:space="0" w:color="000000"/>
              <w:bottom w:val="single" w:sz="1" w:space="0" w:color="000000"/>
              <w:right w:val="single" w:sz="1" w:space="0" w:color="000000"/>
            </w:tcBorders>
          </w:tcPr>
          <w:p w14:paraId="63A05B12" w14:textId="77777777" w:rsidR="003C3F2F" w:rsidRDefault="00000000">
            <w:pPr>
              <w:jc w:val="right"/>
            </w:pPr>
            <w:r>
              <w:t>2,400</w:t>
            </w:r>
          </w:p>
        </w:tc>
      </w:tr>
      <w:tr w:rsidR="003C3F2F" w14:paraId="7B56FA23" w14:textId="77777777">
        <w:tblPrEx>
          <w:tblCellMar>
            <w:top w:w="0" w:type="dxa"/>
            <w:bottom w:w="0" w:type="dxa"/>
          </w:tblCellMar>
        </w:tblPrEx>
        <w:tc>
          <w:tcPr>
            <w:tcW w:w="600" w:type="dxa"/>
            <w:tcBorders>
              <w:top w:val="single" w:sz="1" w:space="0" w:color="000000"/>
              <w:left w:val="single" w:sz="1" w:space="0" w:color="000000"/>
              <w:bottom w:val="single" w:sz="1" w:space="0" w:color="000000"/>
              <w:right w:val="single" w:sz="1" w:space="0" w:color="000000"/>
            </w:tcBorders>
          </w:tcPr>
          <w:p w14:paraId="43993C21" w14:textId="77777777" w:rsidR="003C3F2F" w:rsidRDefault="00000000">
            <w:pPr>
              <w:jc w:val="center"/>
            </w:pPr>
            <w:r>
              <w:t>3</w:t>
            </w:r>
          </w:p>
        </w:tc>
        <w:tc>
          <w:tcPr>
            <w:tcW w:w="4200" w:type="dxa"/>
            <w:tcBorders>
              <w:top w:val="single" w:sz="1" w:space="0" w:color="000000"/>
              <w:left w:val="single" w:sz="1" w:space="0" w:color="000000"/>
              <w:bottom w:val="single" w:sz="1" w:space="0" w:color="000000"/>
              <w:right w:val="single" w:sz="1" w:space="0" w:color="000000"/>
            </w:tcBorders>
          </w:tcPr>
          <w:p w14:paraId="68A49654" w14:textId="77777777" w:rsidR="003C3F2F" w:rsidRDefault="00000000">
            <w:proofErr w:type="spellStart"/>
            <w:r>
              <w:rPr>
                <w:sz w:val="20"/>
                <w:szCs w:val="20"/>
              </w:rPr>
              <w:t>Tanmei</w:t>
            </w:r>
            <w:proofErr w:type="spellEnd"/>
            <w:r>
              <w:rPr>
                <w:sz w:val="20"/>
                <w:szCs w:val="20"/>
              </w:rPr>
              <w:t xml:space="preserve"> Section, </w:t>
            </w:r>
            <w:proofErr w:type="spellStart"/>
            <w:r>
              <w:rPr>
                <w:sz w:val="20"/>
                <w:szCs w:val="20"/>
              </w:rPr>
              <w:t>Neihu</w:t>
            </w:r>
            <w:proofErr w:type="spellEnd"/>
            <w:r>
              <w:rPr>
                <w:sz w:val="20"/>
                <w:szCs w:val="20"/>
              </w:rPr>
              <w:t xml:space="preserve"> Dist., Taipei - 46 land parcels (Highway, Tech Industrial, Road, Agricultural, MRT zones)</w:t>
            </w:r>
          </w:p>
        </w:tc>
        <w:tc>
          <w:tcPr>
            <w:tcW w:w="1100" w:type="dxa"/>
            <w:tcBorders>
              <w:top w:val="single" w:sz="1" w:space="0" w:color="000000"/>
              <w:left w:val="single" w:sz="1" w:space="0" w:color="000000"/>
              <w:bottom w:val="single" w:sz="1" w:space="0" w:color="000000"/>
              <w:right w:val="single" w:sz="1" w:space="0" w:color="000000"/>
            </w:tcBorders>
          </w:tcPr>
          <w:p w14:paraId="0D27F447" w14:textId="77777777" w:rsidR="003C3F2F" w:rsidRDefault="00000000">
            <w:pPr>
              <w:jc w:val="center"/>
            </w:pPr>
            <w:r>
              <w:t>46</w:t>
            </w:r>
          </w:p>
        </w:tc>
        <w:tc>
          <w:tcPr>
            <w:tcW w:w="1100" w:type="dxa"/>
            <w:tcBorders>
              <w:top w:val="single" w:sz="1" w:space="0" w:color="000000"/>
              <w:left w:val="single" w:sz="1" w:space="0" w:color="000000"/>
              <w:bottom w:val="single" w:sz="1" w:space="0" w:color="000000"/>
              <w:right w:val="single" w:sz="1" w:space="0" w:color="000000"/>
            </w:tcBorders>
          </w:tcPr>
          <w:p w14:paraId="50D30083" w14:textId="77777777" w:rsidR="003C3F2F" w:rsidRDefault="00000000">
            <w:pPr>
              <w:jc w:val="center"/>
            </w:pPr>
            <w:r>
              <w:t>-</w:t>
            </w:r>
          </w:p>
        </w:tc>
        <w:tc>
          <w:tcPr>
            <w:tcW w:w="1180" w:type="dxa"/>
            <w:tcBorders>
              <w:top w:val="single" w:sz="1" w:space="0" w:color="000000"/>
              <w:left w:val="single" w:sz="1" w:space="0" w:color="000000"/>
              <w:bottom w:val="single" w:sz="1" w:space="0" w:color="000000"/>
              <w:right w:val="single" w:sz="1" w:space="0" w:color="000000"/>
            </w:tcBorders>
          </w:tcPr>
          <w:p w14:paraId="49C78EAF" w14:textId="77777777" w:rsidR="003C3F2F" w:rsidRDefault="00000000">
            <w:pPr>
              <w:jc w:val="right"/>
            </w:pPr>
            <w:r>
              <w:t>190,000</w:t>
            </w:r>
          </w:p>
        </w:tc>
        <w:tc>
          <w:tcPr>
            <w:tcW w:w="1180" w:type="dxa"/>
            <w:tcBorders>
              <w:top w:val="single" w:sz="1" w:space="0" w:color="000000"/>
              <w:left w:val="single" w:sz="1" w:space="0" w:color="000000"/>
              <w:bottom w:val="single" w:sz="1" w:space="0" w:color="000000"/>
              <w:right w:val="single" w:sz="1" w:space="0" w:color="000000"/>
            </w:tcBorders>
          </w:tcPr>
          <w:p w14:paraId="07B9BB66" w14:textId="77777777" w:rsidR="003C3F2F" w:rsidRDefault="00000000">
            <w:pPr>
              <w:jc w:val="right"/>
            </w:pPr>
            <w:r>
              <w:t>6,100</w:t>
            </w:r>
          </w:p>
        </w:tc>
      </w:tr>
      <w:tr w:rsidR="003C3F2F" w14:paraId="4C177279" w14:textId="77777777">
        <w:tblPrEx>
          <w:tblCellMar>
            <w:top w:w="0" w:type="dxa"/>
            <w:bottom w:w="0" w:type="dxa"/>
          </w:tblCellMar>
        </w:tblPrEx>
        <w:tc>
          <w:tcPr>
            <w:tcW w:w="600" w:type="dxa"/>
            <w:tcBorders>
              <w:top w:val="single" w:sz="1" w:space="0" w:color="000000"/>
              <w:left w:val="single" w:sz="1" w:space="0" w:color="000000"/>
              <w:bottom w:val="single" w:sz="1" w:space="0" w:color="000000"/>
              <w:right w:val="single" w:sz="1" w:space="0" w:color="000000"/>
            </w:tcBorders>
          </w:tcPr>
          <w:p w14:paraId="52C718DC" w14:textId="77777777" w:rsidR="003C3F2F" w:rsidRDefault="00000000">
            <w:pPr>
              <w:jc w:val="center"/>
            </w:pPr>
            <w:r>
              <w:lastRenderedPageBreak/>
              <w:t>4</w:t>
            </w:r>
          </w:p>
        </w:tc>
        <w:tc>
          <w:tcPr>
            <w:tcW w:w="4200" w:type="dxa"/>
            <w:tcBorders>
              <w:top w:val="single" w:sz="1" w:space="0" w:color="000000"/>
              <w:left w:val="single" w:sz="1" w:space="0" w:color="000000"/>
              <w:bottom w:val="single" w:sz="1" w:space="0" w:color="000000"/>
              <w:right w:val="single" w:sz="1" w:space="0" w:color="000000"/>
            </w:tcBorders>
          </w:tcPr>
          <w:p w14:paraId="3B118B69" w14:textId="77777777" w:rsidR="003C3F2F" w:rsidRDefault="00000000">
            <w:proofErr w:type="spellStart"/>
            <w:r>
              <w:rPr>
                <w:sz w:val="20"/>
                <w:szCs w:val="20"/>
              </w:rPr>
              <w:t>Dalong</w:t>
            </w:r>
            <w:proofErr w:type="spellEnd"/>
            <w:r>
              <w:rPr>
                <w:sz w:val="20"/>
                <w:szCs w:val="20"/>
              </w:rPr>
              <w:t xml:space="preserve"> Section (1st, 2nd, 3rd Sub-sec.), Datong Dist., Taipei - 21 land parcels (Residential, Plaza, Preservation zones)</w:t>
            </w:r>
          </w:p>
        </w:tc>
        <w:tc>
          <w:tcPr>
            <w:tcW w:w="1100" w:type="dxa"/>
            <w:tcBorders>
              <w:top w:val="single" w:sz="1" w:space="0" w:color="000000"/>
              <w:left w:val="single" w:sz="1" w:space="0" w:color="000000"/>
              <w:bottom w:val="single" w:sz="1" w:space="0" w:color="000000"/>
              <w:right w:val="single" w:sz="1" w:space="0" w:color="000000"/>
            </w:tcBorders>
          </w:tcPr>
          <w:p w14:paraId="2B1E0CAB" w14:textId="77777777" w:rsidR="003C3F2F" w:rsidRDefault="00000000">
            <w:pPr>
              <w:jc w:val="center"/>
            </w:pPr>
            <w:r>
              <w:t>21</w:t>
            </w:r>
          </w:p>
        </w:tc>
        <w:tc>
          <w:tcPr>
            <w:tcW w:w="1100" w:type="dxa"/>
            <w:tcBorders>
              <w:top w:val="single" w:sz="1" w:space="0" w:color="000000"/>
              <w:left w:val="single" w:sz="1" w:space="0" w:color="000000"/>
              <w:bottom w:val="single" w:sz="1" w:space="0" w:color="000000"/>
              <w:right w:val="single" w:sz="1" w:space="0" w:color="000000"/>
            </w:tcBorders>
          </w:tcPr>
          <w:p w14:paraId="3AD8C793" w14:textId="77777777" w:rsidR="003C3F2F" w:rsidRDefault="00000000">
            <w:pPr>
              <w:jc w:val="center"/>
            </w:pPr>
            <w:r>
              <w:t>-</w:t>
            </w:r>
          </w:p>
        </w:tc>
        <w:tc>
          <w:tcPr>
            <w:tcW w:w="1180" w:type="dxa"/>
            <w:tcBorders>
              <w:top w:val="single" w:sz="1" w:space="0" w:color="000000"/>
              <w:left w:val="single" w:sz="1" w:space="0" w:color="000000"/>
              <w:bottom w:val="single" w:sz="1" w:space="0" w:color="000000"/>
              <w:right w:val="single" w:sz="1" w:space="0" w:color="000000"/>
            </w:tcBorders>
          </w:tcPr>
          <w:p w14:paraId="296D28DF" w14:textId="77777777" w:rsidR="003C3F2F" w:rsidRDefault="00000000">
            <w:pPr>
              <w:jc w:val="right"/>
            </w:pPr>
            <w:r>
              <w:t>175,000</w:t>
            </w:r>
          </w:p>
        </w:tc>
        <w:tc>
          <w:tcPr>
            <w:tcW w:w="1180" w:type="dxa"/>
            <w:tcBorders>
              <w:top w:val="single" w:sz="1" w:space="0" w:color="000000"/>
              <w:left w:val="single" w:sz="1" w:space="0" w:color="000000"/>
              <w:bottom w:val="single" w:sz="1" w:space="0" w:color="000000"/>
              <w:right w:val="single" w:sz="1" w:space="0" w:color="000000"/>
            </w:tcBorders>
          </w:tcPr>
          <w:p w14:paraId="5BC5BE03" w14:textId="77777777" w:rsidR="003C3F2F" w:rsidRDefault="00000000">
            <w:pPr>
              <w:jc w:val="right"/>
            </w:pPr>
            <w:r>
              <w:t>5,600</w:t>
            </w:r>
          </w:p>
        </w:tc>
      </w:tr>
      <w:tr w:rsidR="003C3F2F" w14:paraId="5038CD8E" w14:textId="77777777">
        <w:tblPrEx>
          <w:tblCellMar>
            <w:top w:w="0" w:type="dxa"/>
            <w:bottom w:w="0" w:type="dxa"/>
          </w:tblCellMar>
        </w:tblPrEx>
        <w:tc>
          <w:tcPr>
            <w:tcW w:w="600" w:type="dxa"/>
            <w:tcBorders>
              <w:top w:val="single" w:sz="1" w:space="0" w:color="000000"/>
              <w:left w:val="single" w:sz="1" w:space="0" w:color="000000"/>
              <w:bottom w:val="single" w:sz="1" w:space="0" w:color="000000"/>
              <w:right w:val="single" w:sz="1" w:space="0" w:color="000000"/>
            </w:tcBorders>
          </w:tcPr>
          <w:p w14:paraId="3A8F6FB0" w14:textId="77777777" w:rsidR="003C3F2F" w:rsidRDefault="00000000">
            <w:pPr>
              <w:jc w:val="center"/>
            </w:pPr>
            <w:r>
              <w:t>5</w:t>
            </w:r>
          </w:p>
        </w:tc>
        <w:tc>
          <w:tcPr>
            <w:tcW w:w="4200" w:type="dxa"/>
            <w:tcBorders>
              <w:top w:val="single" w:sz="1" w:space="0" w:color="000000"/>
              <w:left w:val="single" w:sz="1" w:space="0" w:color="000000"/>
              <w:bottom w:val="single" w:sz="1" w:space="0" w:color="000000"/>
              <w:right w:val="single" w:sz="1" w:space="0" w:color="000000"/>
            </w:tcBorders>
          </w:tcPr>
          <w:p w14:paraId="2BBC83B6" w14:textId="77777777" w:rsidR="003C3F2F" w:rsidRDefault="00000000">
            <w:r>
              <w:rPr>
                <w:sz w:val="20"/>
                <w:szCs w:val="20"/>
              </w:rPr>
              <w:t>Qiaobei, Datong, Wenchang Sections, Datong Dist., Taipei - 14 land parcels (Road, Residential zones)</w:t>
            </w:r>
          </w:p>
        </w:tc>
        <w:tc>
          <w:tcPr>
            <w:tcW w:w="1100" w:type="dxa"/>
            <w:tcBorders>
              <w:top w:val="single" w:sz="1" w:space="0" w:color="000000"/>
              <w:left w:val="single" w:sz="1" w:space="0" w:color="000000"/>
              <w:bottom w:val="single" w:sz="1" w:space="0" w:color="000000"/>
              <w:right w:val="single" w:sz="1" w:space="0" w:color="000000"/>
            </w:tcBorders>
          </w:tcPr>
          <w:p w14:paraId="7A15AF9C" w14:textId="77777777" w:rsidR="003C3F2F" w:rsidRDefault="00000000">
            <w:pPr>
              <w:jc w:val="center"/>
            </w:pPr>
            <w:r>
              <w:t>14</w:t>
            </w:r>
          </w:p>
        </w:tc>
        <w:tc>
          <w:tcPr>
            <w:tcW w:w="1100" w:type="dxa"/>
            <w:tcBorders>
              <w:top w:val="single" w:sz="1" w:space="0" w:color="000000"/>
              <w:left w:val="single" w:sz="1" w:space="0" w:color="000000"/>
              <w:bottom w:val="single" w:sz="1" w:space="0" w:color="000000"/>
              <w:right w:val="single" w:sz="1" w:space="0" w:color="000000"/>
            </w:tcBorders>
          </w:tcPr>
          <w:p w14:paraId="2CFEF35A" w14:textId="77777777" w:rsidR="003C3F2F" w:rsidRDefault="00000000">
            <w:pPr>
              <w:jc w:val="center"/>
            </w:pPr>
            <w:r>
              <w:t>-</w:t>
            </w:r>
          </w:p>
        </w:tc>
        <w:tc>
          <w:tcPr>
            <w:tcW w:w="1180" w:type="dxa"/>
            <w:tcBorders>
              <w:top w:val="single" w:sz="1" w:space="0" w:color="000000"/>
              <w:left w:val="single" w:sz="1" w:space="0" w:color="000000"/>
              <w:bottom w:val="single" w:sz="1" w:space="0" w:color="000000"/>
              <w:right w:val="single" w:sz="1" w:space="0" w:color="000000"/>
            </w:tcBorders>
          </w:tcPr>
          <w:p w14:paraId="4BCA8AF4" w14:textId="77777777" w:rsidR="003C3F2F" w:rsidRDefault="00000000">
            <w:pPr>
              <w:jc w:val="right"/>
            </w:pPr>
            <w:r>
              <w:t>115,000</w:t>
            </w:r>
          </w:p>
        </w:tc>
        <w:tc>
          <w:tcPr>
            <w:tcW w:w="1180" w:type="dxa"/>
            <w:tcBorders>
              <w:top w:val="single" w:sz="1" w:space="0" w:color="000000"/>
              <w:left w:val="single" w:sz="1" w:space="0" w:color="000000"/>
              <w:bottom w:val="single" w:sz="1" w:space="0" w:color="000000"/>
              <w:right w:val="single" w:sz="1" w:space="0" w:color="000000"/>
            </w:tcBorders>
          </w:tcPr>
          <w:p w14:paraId="34418284" w14:textId="77777777" w:rsidR="003C3F2F" w:rsidRDefault="00000000">
            <w:pPr>
              <w:jc w:val="right"/>
            </w:pPr>
            <w:r>
              <w:t>3,700</w:t>
            </w:r>
          </w:p>
        </w:tc>
      </w:tr>
      <w:tr w:rsidR="003C3F2F" w14:paraId="2D4B82AC" w14:textId="77777777">
        <w:tblPrEx>
          <w:tblCellMar>
            <w:top w:w="0" w:type="dxa"/>
            <w:bottom w:w="0" w:type="dxa"/>
          </w:tblCellMar>
        </w:tblPrEx>
        <w:tc>
          <w:tcPr>
            <w:tcW w:w="600" w:type="dxa"/>
            <w:tcBorders>
              <w:top w:val="single" w:sz="1" w:space="0" w:color="000000"/>
              <w:left w:val="single" w:sz="1" w:space="0" w:color="000000"/>
              <w:bottom w:val="single" w:sz="1" w:space="0" w:color="000000"/>
              <w:right w:val="single" w:sz="1" w:space="0" w:color="000000"/>
            </w:tcBorders>
          </w:tcPr>
          <w:p w14:paraId="2E32A4FE" w14:textId="77777777" w:rsidR="003C3F2F" w:rsidRDefault="00000000">
            <w:pPr>
              <w:jc w:val="center"/>
            </w:pPr>
            <w:r>
              <w:t>6</w:t>
            </w:r>
          </w:p>
        </w:tc>
        <w:tc>
          <w:tcPr>
            <w:tcW w:w="4200" w:type="dxa"/>
            <w:tcBorders>
              <w:top w:val="single" w:sz="1" w:space="0" w:color="000000"/>
              <w:left w:val="single" w:sz="1" w:space="0" w:color="000000"/>
              <w:bottom w:val="single" w:sz="1" w:space="0" w:color="000000"/>
              <w:right w:val="single" w:sz="1" w:space="0" w:color="000000"/>
            </w:tcBorders>
          </w:tcPr>
          <w:p w14:paraId="67F06708" w14:textId="77777777" w:rsidR="003C3F2F" w:rsidRDefault="00000000">
            <w:r>
              <w:rPr>
                <w:sz w:val="20"/>
                <w:szCs w:val="20"/>
              </w:rPr>
              <w:t xml:space="preserve">Xiangyang Section, Lot 11-2, </w:t>
            </w:r>
            <w:proofErr w:type="spellStart"/>
            <w:r>
              <w:rPr>
                <w:sz w:val="20"/>
                <w:szCs w:val="20"/>
              </w:rPr>
              <w:t>Nangang</w:t>
            </w:r>
            <w:proofErr w:type="spellEnd"/>
            <w:r>
              <w:rPr>
                <w:sz w:val="20"/>
                <w:szCs w:val="20"/>
              </w:rPr>
              <w:t xml:space="preserve"> Dist., Taipei (Residential zone, 1/6 undivided interest)</w:t>
            </w:r>
          </w:p>
        </w:tc>
        <w:tc>
          <w:tcPr>
            <w:tcW w:w="1100" w:type="dxa"/>
            <w:tcBorders>
              <w:top w:val="single" w:sz="1" w:space="0" w:color="000000"/>
              <w:left w:val="single" w:sz="1" w:space="0" w:color="000000"/>
              <w:bottom w:val="single" w:sz="1" w:space="0" w:color="000000"/>
              <w:right w:val="single" w:sz="1" w:space="0" w:color="000000"/>
            </w:tcBorders>
          </w:tcPr>
          <w:p w14:paraId="0CAD980B" w14:textId="77777777" w:rsidR="003C3F2F" w:rsidRDefault="00000000">
            <w:pPr>
              <w:jc w:val="center"/>
            </w:pPr>
            <w:r>
              <w:t>1</w:t>
            </w:r>
          </w:p>
        </w:tc>
        <w:tc>
          <w:tcPr>
            <w:tcW w:w="1100" w:type="dxa"/>
            <w:tcBorders>
              <w:top w:val="single" w:sz="1" w:space="0" w:color="000000"/>
              <w:left w:val="single" w:sz="1" w:space="0" w:color="000000"/>
              <w:bottom w:val="single" w:sz="1" w:space="0" w:color="000000"/>
              <w:right w:val="single" w:sz="1" w:space="0" w:color="000000"/>
            </w:tcBorders>
          </w:tcPr>
          <w:p w14:paraId="7AAE9451" w14:textId="77777777" w:rsidR="003C3F2F" w:rsidRDefault="00000000">
            <w:pPr>
              <w:jc w:val="center"/>
            </w:pPr>
            <w:r>
              <w:t>-</w:t>
            </w:r>
          </w:p>
        </w:tc>
        <w:tc>
          <w:tcPr>
            <w:tcW w:w="1180" w:type="dxa"/>
            <w:tcBorders>
              <w:top w:val="single" w:sz="1" w:space="0" w:color="000000"/>
              <w:left w:val="single" w:sz="1" w:space="0" w:color="000000"/>
              <w:bottom w:val="single" w:sz="1" w:space="0" w:color="000000"/>
              <w:right w:val="single" w:sz="1" w:space="0" w:color="000000"/>
            </w:tcBorders>
          </w:tcPr>
          <w:p w14:paraId="167CDBB8" w14:textId="77777777" w:rsidR="003C3F2F" w:rsidRDefault="00000000">
            <w:pPr>
              <w:jc w:val="right"/>
            </w:pPr>
            <w:r>
              <w:t>75,000</w:t>
            </w:r>
          </w:p>
        </w:tc>
        <w:tc>
          <w:tcPr>
            <w:tcW w:w="1180" w:type="dxa"/>
            <w:tcBorders>
              <w:top w:val="single" w:sz="1" w:space="0" w:color="000000"/>
              <w:left w:val="single" w:sz="1" w:space="0" w:color="000000"/>
              <w:bottom w:val="single" w:sz="1" w:space="0" w:color="000000"/>
              <w:right w:val="single" w:sz="1" w:space="0" w:color="000000"/>
            </w:tcBorders>
          </w:tcPr>
          <w:p w14:paraId="4F05D1B9" w14:textId="77777777" w:rsidR="003C3F2F" w:rsidRDefault="00000000">
            <w:pPr>
              <w:jc w:val="right"/>
            </w:pPr>
            <w:r>
              <w:t>2,400</w:t>
            </w:r>
          </w:p>
        </w:tc>
      </w:tr>
      <w:tr w:rsidR="003C3F2F" w14:paraId="161656E8" w14:textId="77777777">
        <w:tblPrEx>
          <w:tblCellMar>
            <w:top w:w="0" w:type="dxa"/>
            <w:bottom w:w="0" w:type="dxa"/>
          </w:tblCellMar>
        </w:tblPrEx>
        <w:tc>
          <w:tcPr>
            <w:tcW w:w="600" w:type="dxa"/>
            <w:tcBorders>
              <w:top w:val="single" w:sz="1" w:space="0" w:color="000000"/>
              <w:left w:val="single" w:sz="1" w:space="0" w:color="000000"/>
              <w:bottom w:val="single" w:sz="1" w:space="0" w:color="000000"/>
              <w:right w:val="single" w:sz="1" w:space="0" w:color="000000"/>
            </w:tcBorders>
            <w:shd w:val="clear" w:color="auto" w:fill="E8E8E8"/>
          </w:tcPr>
          <w:p w14:paraId="44E0B981" w14:textId="77777777" w:rsidR="003C3F2F" w:rsidRDefault="003C3F2F"/>
        </w:tc>
        <w:tc>
          <w:tcPr>
            <w:tcW w:w="4200" w:type="dxa"/>
            <w:tcBorders>
              <w:top w:val="single" w:sz="1" w:space="0" w:color="000000"/>
              <w:left w:val="single" w:sz="1" w:space="0" w:color="000000"/>
              <w:bottom w:val="single" w:sz="1" w:space="0" w:color="000000"/>
              <w:right w:val="single" w:sz="1" w:space="0" w:color="000000"/>
            </w:tcBorders>
            <w:shd w:val="clear" w:color="auto" w:fill="E8E8E8"/>
          </w:tcPr>
          <w:p w14:paraId="7C396C77" w14:textId="77777777" w:rsidR="003C3F2F" w:rsidRDefault="00000000" w:rsidP="008112C7">
            <w:r>
              <w:rPr>
                <w:b/>
                <w:bCs/>
              </w:rPr>
              <w:t>TOTAL</w:t>
            </w:r>
          </w:p>
        </w:tc>
        <w:tc>
          <w:tcPr>
            <w:tcW w:w="1100" w:type="dxa"/>
            <w:tcBorders>
              <w:top w:val="single" w:sz="1" w:space="0" w:color="000000"/>
              <w:left w:val="single" w:sz="1" w:space="0" w:color="000000"/>
              <w:bottom w:val="single" w:sz="1" w:space="0" w:color="000000"/>
              <w:right w:val="single" w:sz="1" w:space="0" w:color="000000"/>
            </w:tcBorders>
            <w:shd w:val="clear" w:color="auto" w:fill="E8E8E8"/>
          </w:tcPr>
          <w:p w14:paraId="420312EE" w14:textId="77777777" w:rsidR="003C3F2F" w:rsidRDefault="00000000">
            <w:pPr>
              <w:jc w:val="center"/>
            </w:pPr>
            <w:r>
              <w:rPr>
                <w:b/>
                <w:bCs/>
              </w:rPr>
              <w:t>84</w:t>
            </w:r>
          </w:p>
        </w:tc>
        <w:tc>
          <w:tcPr>
            <w:tcW w:w="1100" w:type="dxa"/>
            <w:tcBorders>
              <w:top w:val="single" w:sz="1" w:space="0" w:color="000000"/>
              <w:left w:val="single" w:sz="1" w:space="0" w:color="000000"/>
              <w:bottom w:val="single" w:sz="1" w:space="0" w:color="000000"/>
              <w:right w:val="single" w:sz="1" w:space="0" w:color="000000"/>
            </w:tcBorders>
            <w:shd w:val="clear" w:color="auto" w:fill="E8E8E8"/>
          </w:tcPr>
          <w:p w14:paraId="0AFA1E7D" w14:textId="77777777" w:rsidR="003C3F2F" w:rsidRDefault="00000000">
            <w:pPr>
              <w:jc w:val="center"/>
            </w:pPr>
            <w:r>
              <w:rPr>
                <w:b/>
                <w:bCs/>
              </w:rPr>
              <w:t>5</w:t>
            </w:r>
          </w:p>
        </w:tc>
        <w:tc>
          <w:tcPr>
            <w:tcW w:w="1180" w:type="dxa"/>
            <w:tcBorders>
              <w:top w:val="single" w:sz="1" w:space="0" w:color="000000"/>
              <w:left w:val="single" w:sz="1" w:space="0" w:color="000000"/>
              <w:bottom w:val="single" w:sz="1" w:space="0" w:color="000000"/>
              <w:right w:val="single" w:sz="1" w:space="0" w:color="000000"/>
            </w:tcBorders>
            <w:shd w:val="clear" w:color="auto" w:fill="E8E8E8"/>
          </w:tcPr>
          <w:p w14:paraId="387055B6" w14:textId="77777777" w:rsidR="003C3F2F" w:rsidRDefault="00000000">
            <w:pPr>
              <w:jc w:val="right"/>
            </w:pPr>
            <w:r>
              <w:rPr>
                <w:b/>
                <w:bCs/>
              </w:rPr>
              <w:t>705,000</w:t>
            </w:r>
          </w:p>
        </w:tc>
        <w:tc>
          <w:tcPr>
            <w:tcW w:w="1180" w:type="dxa"/>
            <w:tcBorders>
              <w:top w:val="single" w:sz="1" w:space="0" w:color="000000"/>
              <w:left w:val="single" w:sz="1" w:space="0" w:color="000000"/>
              <w:bottom w:val="single" w:sz="1" w:space="0" w:color="000000"/>
              <w:right w:val="single" w:sz="1" w:space="0" w:color="000000"/>
            </w:tcBorders>
            <w:shd w:val="clear" w:color="auto" w:fill="E8E8E8"/>
          </w:tcPr>
          <w:p w14:paraId="4894F8B7" w14:textId="77777777" w:rsidR="003C3F2F" w:rsidRDefault="00000000">
            <w:pPr>
              <w:jc w:val="right"/>
            </w:pPr>
            <w:r>
              <w:rPr>
                <w:b/>
                <w:bCs/>
              </w:rPr>
              <w:t>22,600</w:t>
            </w:r>
          </w:p>
        </w:tc>
      </w:tr>
    </w:tbl>
    <w:p w14:paraId="7210AE43" w14:textId="77777777" w:rsidR="003C3F2F" w:rsidRDefault="003C3F2F"/>
    <w:p w14:paraId="04FA3216" w14:textId="77777777" w:rsidR="003C3F2F" w:rsidRDefault="00000000">
      <w:r>
        <w:rPr>
          <w:i/>
          <w:iCs/>
          <w:sz w:val="20"/>
          <w:szCs w:val="20"/>
        </w:rPr>
        <w:t>Note: USD amounts are approximate based on exchange rate of 1 USD = 31.2 TWD. Final invoice will be in TWD.</w:t>
      </w:r>
    </w:p>
    <w:p w14:paraId="0D601F48" w14:textId="77777777" w:rsidR="003C3F2F" w:rsidRDefault="003C3F2F"/>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gridCol w:w="360"/>
      </w:tblGrid>
      <w:tr w:rsidR="003C3F2F" w14:paraId="081272F7" w14:textId="77777777">
        <w:tblPrEx>
          <w:tblCellMar>
            <w:top w:w="0" w:type="dxa"/>
            <w:bottom w:w="0" w:type="dxa"/>
          </w:tblCellMar>
        </w:tblPrEx>
        <w:tc>
          <w:tcPr>
            <w:tcW w:w="9360" w:type="dxa"/>
            <w:gridSpan w:val="2"/>
            <w:tcBorders>
              <w:top w:val="single" w:sz="1" w:space="0" w:color="000000"/>
              <w:left w:val="single" w:sz="1" w:space="0" w:color="000000"/>
              <w:bottom w:val="single" w:sz="1" w:space="0" w:color="000000"/>
              <w:right w:val="single" w:sz="1" w:space="0" w:color="000000"/>
            </w:tcBorders>
            <w:shd w:val="clear" w:color="auto" w:fill="D9E2F3"/>
          </w:tcPr>
          <w:p w14:paraId="3B9CC3DB" w14:textId="77777777" w:rsidR="003C3F2F" w:rsidRDefault="00000000">
            <w:r>
              <w:rPr>
                <w:b/>
                <w:bCs/>
              </w:rPr>
              <w:t>FEE TERMS AND CONDITIONS</w:t>
            </w:r>
          </w:p>
        </w:tc>
      </w:tr>
      <w:tr w:rsidR="003C3F2F" w14:paraId="7BE00463" w14:textId="77777777">
        <w:tblPrEx>
          <w:tblCellMar>
            <w:top w:w="0" w:type="dxa"/>
            <w:bottom w:w="0" w:type="dxa"/>
          </w:tblCellMar>
        </w:tblPrEx>
        <w:trPr>
          <w:gridAfter w:val="1"/>
          <w:wAfter w:w="360" w:type="dxa"/>
        </w:trPr>
        <w:tc>
          <w:tcPr>
            <w:tcW w:w="9360" w:type="dxa"/>
            <w:tcBorders>
              <w:top w:val="single" w:sz="1" w:space="0" w:color="000000"/>
              <w:left w:val="single" w:sz="1" w:space="0" w:color="000000"/>
              <w:bottom w:val="single" w:sz="1" w:space="0" w:color="000000"/>
              <w:right w:val="single" w:sz="1" w:space="0" w:color="000000"/>
            </w:tcBorders>
          </w:tcPr>
          <w:p w14:paraId="46D12F5E" w14:textId="77777777" w:rsidR="003C3F2F" w:rsidRDefault="00000000">
            <w:pPr>
              <w:pStyle w:val="a4"/>
              <w:numPr>
                <w:ilvl w:val="0"/>
                <w:numId w:val="3"/>
              </w:numPr>
            </w:pPr>
            <w:r>
              <w:rPr>
                <w:b/>
                <w:bCs/>
              </w:rPr>
              <w:t xml:space="preserve">Total Service Fee: USD 22,600 </w:t>
            </w:r>
            <w:r>
              <w:t>(TWD 705,000) - inclusive of applicable taxes, government filing fees for obtaining land registry documents, and travel expenses within Taiwan.</w:t>
            </w:r>
          </w:p>
          <w:p w14:paraId="6213077B" w14:textId="77777777" w:rsidR="003C3F2F" w:rsidRDefault="00000000">
            <w:pPr>
              <w:pStyle w:val="a4"/>
              <w:numPr>
                <w:ilvl w:val="0"/>
                <w:numId w:val="3"/>
              </w:numPr>
            </w:pPr>
            <w:r>
              <w:t>Review Period: Client shall raise any objections to the appraisal reports within ten (10) calendar days of receipt. Failure to object within this period shall be deemed acceptance.</w:t>
            </w:r>
          </w:p>
          <w:p w14:paraId="0F12EDD3" w14:textId="77777777" w:rsidR="003C3F2F" w:rsidRDefault="00000000">
            <w:pPr>
              <w:pStyle w:val="a4"/>
              <w:numPr>
                <w:ilvl w:val="0"/>
                <w:numId w:val="3"/>
              </w:numPr>
            </w:pPr>
            <w:r>
              <w:t>Additional Copies: Each additional report copy: USD 40 (TWD 1,200). Requests must be made within one (1) month of the appraisal date.</w:t>
            </w:r>
          </w:p>
          <w:p w14:paraId="643A7FF5" w14:textId="77777777" w:rsidR="003C3F2F" w:rsidRDefault="00000000">
            <w:pPr>
              <w:pStyle w:val="a4"/>
              <w:numPr>
                <w:ilvl w:val="0"/>
                <w:numId w:val="3"/>
              </w:numPr>
            </w:pPr>
            <w:r>
              <w:t>Cancellation Policy: If Client cancels after signing this engagement and the appraisal cannot be completed due to reasons attributable to Client, full fee remains payable.</w:t>
            </w:r>
          </w:p>
          <w:p w14:paraId="334BBEB5" w14:textId="77777777" w:rsidR="003C3F2F" w:rsidRDefault="00000000">
            <w:pPr>
              <w:pStyle w:val="a4"/>
              <w:numPr>
                <w:ilvl w:val="0"/>
                <w:numId w:val="3"/>
              </w:numPr>
            </w:pPr>
            <w:r>
              <w:t>Expedited Service: Rush orders requiring completion before the standard turnaround time will incur a 30% surcharge.</w:t>
            </w:r>
          </w:p>
        </w:tc>
      </w:tr>
    </w:tbl>
    <w:p w14:paraId="5C15339D" w14:textId="77777777" w:rsidR="003C3F2F" w:rsidRDefault="003C3F2F"/>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3C3F2F" w14:paraId="5E9DC649" w14:textId="77777777">
        <w:tblPrEx>
          <w:tblCellMar>
            <w:top w:w="0" w:type="dxa"/>
            <w:bottom w:w="0" w:type="dxa"/>
          </w:tblCellMar>
        </w:tblPrEx>
        <w:tc>
          <w:tcPr>
            <w:tcW w:w="9360" w:type="dxa"/>
            <w:gridSpan w:val="2"/>
            <w:tcBorders>
              <w:top w:val="single" w:sz="1" w:space="0" w:color="000000"/>
              <w:left w:val="single" w:sz="1" w:space="0" w:color="000000"/>
              <w:bottom w:val="single" w:sz="1" w:space="0" w:color="000000"/>
              <w:right w:val="single" w:sz="1" w:space="0" w:color="000000"/>
            </w:tcBorders>
            <w:shd w:val="clear" w:color="auto" w:fill="D9E2F3"/>
          </w:tcPr>
          <w:p w14:paraId="3469EC5F" w14:textId="77777777" w:rsidR="003C3F2F" w:rsidRDefault="00000000">
            <w:r>
              <w:rPr>
                <w:b/>
                <w:bCs/>
              </w:rPr>
              <w:t>V. PAYMENT METHOD</w:t>
            </w:r>
          </w:p>
        </w:tc>
      </w:tr>
      <w:tr w:rsidR="003C3F2F" w14:paraId="00C836B7" w14:textId="77777777">
        <w:tblPrEx>
          <w:tblCellMar>
            <w:top w:w="0" w:type="dxa"/>
            <w:bottom w:w="0" w:type="dxa"/>
          </w:tblCellMar>
        </w:tblPrEx>
        <w:tc>
          <w:tcPr>
            <w:tcW w:w="3000" w:type="dxa"/>
            <w:tcBorders>
              <w:top w:val="single" w:sz="1" w:space="0" w:color="000000"/>
              <w:left w:val="single" w:sz="1" w:space="0" w:color="000000"/>
              <w:bottom w:val="single" w:sz="1" w:space="0" w:color="000000"/>
              <w:right w:val="single" w:sz="1" w:space="0" w:color="000000"/>
            </w:tcBorders>
          </w:tcPr>
          <w:p w14:paraId="65CCCD30" w14:textId="77777777" w:rsidR="003C3F2F" w:rsidRDefault="00000000">
            <w:r>
              <w:rPr>
                <w:b/>
                <w:bCs/>
              </w:rPr>
              <w:t>Bank Name:</w:t>
            </w:r>
          </w:p>
        </w:tc>
        <w:tc>
          <w:tcPr>
            <w:tcW w:w="6360" w:type="dxa"/>
            <w:tcBorders>
              <w:top w:val="single" w:sz="1" w:space="0" w:color="000000"/>
              <w:left w:val="single" w:sz="1" w:space="0" w:color="000000"/>
              <w:bottom w:val="single" w:sz="1" w:space="0" w:color="000000"/>
              <w:right w:val="single" w:sz="1" w:space="0" w:color="000000"/>
            </w:tcBorders>
          </w:tcPr>
          <w:p w14:paraId="7CE88F23" w14:textId="77777777" w:rsidR="003C3F2F" w:rsidRPr="008112C7" w:rsidRDefault="00000000">
            <w:pPr>
              <w:rPr>
                <w:highlight w:val="yellow"/>
              </w:rPr>
            </w:pPr>
            <w:r w:rsidRPr="008112C7">
              <w:rPr>
                <w:highlight w:val="yellow"/>
              </w:rPr>
              <w:t>Hua Nan Commercial Bank - Datong Branch</w:t>
            </w:r>
          </w:p>
        </w:tc>
      </w:tr>
      <w:tr w:rsidR="003C3F2F" w14:paraId="2B214F90" w14:textId="77777777">
        <w:tblPrEx>
          <w:tblCellMar>
            <w:top w:w="0" w:type="dxa"/>
            <w:bottom w:w="0" w:type="dxa"/>
          </w:tblCellMar>
        </w:tblPrEx>
        <w:tc>
          <w:tcPr>
            <w:tcW w:w="3000" w:type="dxa"/>
            <w:tcBorders>
              <w:top w:val="single" w:sz="1" w:space="0" w:color="000000"/>
              <w:left w:val="single" w:sz="1" w:space="0" w:color="000000"/>
              <w:bottom w:val="single" w:sz="1" w:space="0" w:color="000000"/>
              <w:right w:val="single" w:sz="1" w:space="0" w:color="000000"/>
            </w:tcBorders>
          </w:tcPr>
          <w:p w14:paraId="1BE7CDD8" w14:textId="77777777" w:rsidR="003C3F2F" w:rsidRDefault="00000000">
            <w:r>
              <w:rPr>
                <w:b/>
                <w:bCs/>
              </w:rPr>
              <w:t>SWIFT/BIC:</w:t>
            </w:r>
          </w:p>
        </w:tc>
        <w:tc>
          <w:tcPr>
            <w:tcW w:w="6360" w:type="dxa"/>
            <w:tcBorders>
              <w:top w:val="single" w:sz="1" w:space="0" w:color="000000"/>
              <w:left w:val="single" w:sz="1" w:space="0" w:color="000000"/>
              <w:bottom w:val="single" w:sz="1" w:space="0" w:color="000000"/>
              <w:right w:val="single" w:sz="1" w:space="0" w:color="000000"/>
            </w:tcBorders>
          </w:tcPr>
          <w:p w14:paraId="26D09643" w14:textId="77777777" w:rsidR="003C3F2F" w:rsidRPr="008112C7" w:rsidRDefault="00000000">
            <w:pPr>
              <w:rPr>
                <w:highlight w:val="yellow"/>
              </w:rPr>
            </w:pPr>
            <w:r w:rsidRPr="008112C7">
              <w:rPr>
                <w:highlight w:val="yellow"/>
              </w:rPr>
              <w:t>HNBKTWTP (Please verify with your bank)</w:t>
            </w:r>
          </w:p>
        </w:tc>
      </w:tr>
      <w:tr w:rsidR="003C3F2F" w14:paraId="62DE3C26" w14:textId="77777777">
        <w:tblPrEx>
          <w:tblCellMar>
            <w:top w:w="0" w:type="dxa"/>
            <w:bottom w:w="0" w:type="dxa"/>
          </w:tblCellMar>
        </w:tblPrEx>
        <w:tc>
          <w:tcPr>
            <w:tcW w:w="3000" w:type="dxa"/>
            <w:tcBorders>
              <w:top w:val="single" w:sz="1" w:space="0" w:color="000000"/>
              <w:left w:val="single" w:sz="1" w:space="0" w:color="000000"/>
              <w:bottom w:val="single" w:sz="1" w:space="0" w:color="000000"/>
              <w:right w:val="single" w:sz="1" w:space="0" w:color="000000"/>
            </w:tcBorders>
          </w:tcPr>
          <w:p w14:paraId="37F60085" w14:textId="77777777" w:rsidR="003C3F2F" w:rsidRDefault="00000000">
            <w:r>
              <w:rPr>
                <w:b/>
                <w:bCs/>
              </w:rPr>
              <w:t>Account Number:</w:t>
            </w:r>
          </w:p>
        </w:tc>
        <w:tc>
          <w:tcPr>
            <w:tcW w:w="6360" w:type="dxa"/>
            <w:tcBorders>
              <w:top w:val="single" w:sz="1" w:space="0" w:color="000000"/>
              <w:left w:val="single" w:sz="1" w:space="0" w:color="000000"/>
              <w:bottom w:val="single" w:sz="1" w:space="0" w:color="000000"/>
              <w:right w:val="single" w:sz="1" w:space="0" w:color="000000"/>
            </w:tcBorders>
          </w:tcPr>
          <w:p w14:paraId="737ECF29" w14:textId="77777777" w:rsidR="003C3F2F" w:rsidRPr="008112C7" w:rsidRDefault="00000000">
            <w:pPr>
              <w:rPr>
                <w:highlight w:val="yellow"/>
              </w:rPr>
            </w:pPr>
            <w:r w:rsidRPr="008112C7">
              <w:rPr>
                <w:highlight w:val="yellow"/>
              </w:rPr>
              <w:t>114-10-012375-2</w:t>
            </w:r>
          </w:p>
        </w:tc>
      </w:tr>
      <w:tr w:rsidR="003C3F2F" w14:paraId="504F743D" w14:textId="77777777">
        <w:tblPrEx>
          <w:tblCellMar>
            <w:top w:w="0" w:type="dxa"/>
            <w:bottom w:w="0" w:type="dxa"/>
          </w:tblCellMar>
        </w:tblPrEx>
        <w:tc>
          <w:tcPr>
            <w:tcW w:w="3000" w:type="dxa"/>
            <w:tcBorders>
              <w:top w:val="single" w:sz="1" w:space="0" w:color="000000"/>
              <w:left w:val="single" w:sz="1" w:space="0" w:color="000000"/>
              <w:bottom w:val="single" w:sz="1" w:space="0" w:color="000000"/>
              <w:right w:val="single" w:sz="1" w:space="0" w:color="000000"/>
            </w:tcBorders>
          </w:tcPr>
          <w:p w14:paraId="02B65925" w14:textId="77777777" w:rsidR="003C3F2F" w:rsidRDefault="00000000">
            <w:r>
              <w:rPr>
                <w:b/>
                <w:bCs/>
              </w:rPr>
              <w:t>Account Holder:</w:t>
            </w:r>
          </w:p>
        </w:tc>
        <w:tc>
          <w:tcPr>
            <w:tcW w:w="6360" w:type="dxa"/>
            <w:tcBorders>
              <w:top w:val="single" w:sz="1" w:space="0" w:color="000000"/>
              <w:left w:val="single" w:sz="1" w:space="0" w:color="000000"/>
              <w:bottom w:val="single" w:sz="1" w:space="0" w:color="000000"/>
              <w:right w:val="single" w:sz="1" w:space="0" w:color="000000"/>
            </w:tcBorders>
          </w:tcPr>
          <w:p w14:paraId="2886A407" w14:textId="77777777" w:rsidR="003C3F2F" w:rsidRPr="008112C7" w:rsidRDefault="00000000">
            <w:pPr>
              <w:rPr>
                <w:highlight w:val="yellow"/>
              </w:rPr>
            </w:pPr>
            <w:r w:rsidRPr="008112C7">
              <w:rPr>
                <w:highlight w:val="yellow"/>
              </w:rPr>
              <w:t>Hannah Real Estate Appraisers - Chen Hao-Han</w:t>
            </w:r>
          </w:p>
        </w:tc>
      </w:tr>
      <w:tr w:rsidR="003C3F2F" w14:paraId="261C7B53" w14:textId="77777777">
        <w:tblPrEx>
          <w:tblCellMar>
            <w:top w:w="0" w:type="dxa"/>
            <w:bottom w:w="0" w:type="dxa"/>
          </w:tblCellMar>
        </w:tblPrEx>
        <w:tc>
          <w:tcPr>
            <w:tcW w:w="3000" w:type="dxa"/>
            <w:tcBorders>
              <w:top w:val="single" w:sz="1" w:space="0" w:color="000000"/>
              <w:left w:val="single" w:sz="1" w:space="0" w:color="000000"/>
              <w:bottom w:val="single" w:sz="1" w:space="0" w:color="000000"/>
              <w:right w:val="single" w:sz="1" w:space="0" w:color="000000"/>
            </w:tcBorders>
          </w:tcPr>
          <w:p w14:paraId="132B34E2" w14:textId="77777777" w:rsidR="003C3F2F" w:rsidRDefault="00000000">
            <w:r>
              <w:rPr>
                <w:b/>
                <w:bCs/>
              </w:rPr>
              <w:t>Bank Address:</w:t>
            </w:r>
          </w:p>
        </w:tc>
        <w:tc>
          <w:tcPr>
            <w:tcW w:w="6360" w:type="dxa"/>
            <w:tcBorders>
              <w:top w:val="single" w:sz="1" w:space="0" w:color="000000"/>
              <w:left w:val="single" w:sz="1" w:space="0" w:color="000000"/>
              <w:bottom w:val="single" w:sz="1" w:space="0" w:color="000000"/>
              <w:right w:val="single" w:sz="1" w:space="0" w:color="000000"/>
            </w:tcBorders>
          </w:tcPr>
          <w:p w14:paraId="7B988B14" w14:textId="77777777" w:rsidR="003C3F2F" w:rsidRPr="008112C7" w:rsidRDefault="00000000">
            <w:pPr>
              <w:rPr>
                <w:highlight w:val="yellow"/>
              </w:rPr>
            </w:pPr>
            <w:r w:rsidRPr="008112C7">
              <w:rPr>
                <w:highlight w:val="yellow"/>
              </w:rPr>
              <w:t>No. 123, Sec. 3, Chongqing N. Rd., Datong Dist., Taipei City, Taiwan</w:t>
            </w:r>
          </w:p>
        </w:tc>
      </w:tr>
      <w:tr w:rsidR="003C3F2F" w14:paraId="678FF18E" w14:textId="77777777">
        <w:tblPrEx>
          <w:tblCellMar>
            <w:top w:w="0" w:type="dxa"/>
            <w:bottom w:w="0" w:type="dxa"/>
          </w:tblCellMar>
        </w:tblPrEx>
        <w:tc>
          <w:tcPr>
            <w:tcW w:w="9360" w:type="dxa"/>
            <w:gridSpan w:val="2"/>
            <w:tcBorders>
              <w:top w:val="single" w:sz="1" w:space="0" w:color="000000"/>
              <w:left w:val="single" w:sz="1" w:space="0" w:color="000000"/>
              <w:bottom w:val="single" w:sz="1" w:space="0" w:color="000000"/>
              <w:right w:val="single" w:sz="1" w:space="0" w:color="000000"/>
            </w:tcBorders>
          </w:tcPr>
          <w:p w14:paraId="2DB3D8C6" w14:textId="77777777" w:rsidR="003C3F2F" w:rsidRDefault="00000000">
            <w:r>
              <w:rPr>
                <w:i/>
                <w:iCs/>
                <w:sz w:val="20"/>
                <w:szCs w:val="20"/>
              </w:rPr>
              <w:t>Note: Client is responsible for all international wire transfer fees. Please ensure the full invoiced amount is received by the beneficiary.</w:t>
            </w:r>
          </w:p>
        </w:tc>
      </w:tr>
    </w:tbl>
    <w:p w14:paraId="1832B552" w14:textId="77777777" w:rsidR="003C3F2F" w:rsidRDefault="003C3F2F"/>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gridCol w:w="360"/>
      </w:tblGrid>
      <w:tr w:rsidR="003C3F2F" w14:paraId="26070766" w14:textId="77777777">
        <w:tblPrEx>
          <w:tblCellMar>
            <w:top w:w="0" w:type="dxa"/>
            <w:bottom w:w="0" w:type="dxa"/>
          </w:tblCellMar>
        </w:tblPrEx>
        <w:tc>
          <w:tcPr>
            <w:tcW w:w="9360" w:type="dxa"/>
            <w:gridSpan w:val="2"/>
            <w:tcBorders>
              <w:top w:val="single" w:sz="1" w:space="0" w:color="000000"/>
              <w:left w:val="single" w:sz="1" w:space="0" w:color="000000"/>
              <w:bottom w:val="single" w:sz="1" w:space="0" w:color="000000"/>
              <w:right w:val="single" w:sz="1" w:space="0" w:color="000000"/>
            </w:tcBorders>
            <w:shd w:val="clear" w:color="auto" w:fill="D9E2F3"/>
          </w:tcPr>
          <w:p w14:paraId="6C62D15E" w14:textId="77777777" w:rsidR="003C3F2F" w:rsidRDefault="00000000">
            <w:r>
              <w:rPr>
                <w:b/>
                <w:bCs/>
              </w:rPr>
              <w:t>VI. DELIVERABLES</w:t>
            </w:r>
          </w:p>
        </w:tc>
      </w:tr>
      <w:tr w:rsidR="003C3F2F" w14:paraId="6FE0FF4D" w14:textId="77777777">
        <w:tblPrEx>
          <w:tblCellMar>
            <w:top w:w="0" w:type="dxa"/>
            <w:bottom w:w="0" w:type="dxa"/>
          </w:tblCellMar>
        </w:tblPrEx>
        <w:trPr>
          <w:gridAfter w:val="1"/>
          <w:wAfter w:w="360" w:type="dxa"/>
        </w:trPr>
        <w:tc>
          <w:tcPr>
            <w:tcW w:w="9360" w:type="dxa"/>
            <w:tcBorders>
              <w:top w:val="single" w:sz="1" w:space="0" w:color="000000"/>
              <w:left w:val="single" w:sz="1" w:space="0" w:color="000000"/>
              <w:bottom w:val="single" w:sz="1" w:space="0" w:color="000000"/>
              <w:right w:val="single" w:sz="1" w:space="0" w:color="000000"/>
            </w:tcBorders>
          </w:tcPr>
          <w:p w14:paraId="76B39E75" w14:textId="77777777" w:rsidR="003C3F2F" w:rsidRDefault="00000000">
            <w:pPr>
              <w:pStyle w:val="a4"/>
              <w:numPr>
                <w:ilvl w:val="0"/>
                <w:numId w:val="2"/>
              </w:numPr>
            </w:pPr>
            <w:r>
              <w:t>Six (6) individual English appraisal reports (one for each property group)</w:t>
            </w:r>
          </w:p>
          <w:p w14:paraId="63D2D681" w14:textId="77777777" w:rsidR="003C3F2F" w:rsidRDefault="00000000">
            <w:pPr>
              <w:pStyle w:val="a4"/>
              <w:numPr>
                <w:ilvl w:val="0"/>
                <w:numId w:val="2"/>
              </w:numPr>
            </w:pPr>
            <w:r>
              <w:t>Digital PDF copies via email</w:t>
            </w:r>
          </w:p>
          <w:p w14:paraId="2A7BF133" w14:textId="77777777" w:rsidR="003C3F2F" w:rsidRDefault="00000000">
            <w:pPr>
              <w:pStyle w:val="a4"/>
              <w:numPr>
                <w:ilvl w:val="0"/>
                <w:numId w:val="2"/>
              </w:numPr>
            </w:pPr>
            <w:r>
              <w:t>Original hard copies available upon request (shipping costs additional)</w:t>
            </w:r>
          </w:p>
        </w:tc>
      </w:tr>
    </w:tbl>
    <w:p w14:paraId="25AF1BA5" w14:textId="77777777" w:rsidR="003C3F2F" w:rsidRDefault="003C3F2F"/>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gridCol w:w="360"/>
      </w:tblGrid>
      <w:tr w:rsidR="003C3F2F" w14:paraId="09F253AA" w14:textId="77777777">
        <w:tblPrEx>
          <w:tblCellMar>
            <w:top w:w="0" w:type="dxa"/>
            <w:bottom w:w="0" w:type="dxa"/>
          </w:tblCellMar>
        </w:tblPrEx>
        <w:tc>
          <w:tcPr>
            <w:tcW w:w="9360" w:type="dxa"/>
            <w:gridSpan w:val="2"/>
            <w:tcBorders>
              <w:top w:val="single" w:sz="1" w:space="0" w:color="000000"/>
              <w:left w:val="single" w:sz="1" w:space="0" w:color="000000"/>
              <w:bottom w:val="single" w:sz="1" w:space="0" w:color="000000"/>
              <w:right w:val="single" w:sz="1" w:space="0" w:color="000000"/>
            </w:tcBorders>
            <w:shd w:val="clear" w:color="auto" w:fill="D9E2F3"/>
          </w:tcPr>
          <w:p w14:paraId="49C4475B" w14:textId="77777777" w:rsidR="003C3F2F" w:rsidRDefault="00000000">
            <w:r>
              <w:rPr>
                <w:b/>
                <w:bCs/>
              </w:rPr>
              <w:t>VII. TURNAROUND TIME</w:t>
            </w:r>
          </w:p>
        </w:tc>
      </w:tr>
      <w:tr w:rsidR="003C3F2F" w14:paraId="2A80753F" w14:textId="77777777">
        <w:tblPrEx>
          <w:tblCellMar>
            <w:top w:w="0" w:type="dxa"/>
            <w:bottom w:w="0" w:type="dxa"/>
          </w:tblCellMar>
        </w:tblPrEx>
        <w:trPr>
          <w:gridAfter w:val="1"/>
          <w:wAfter w:w="360" w:type="dxa"/>
        </w:trPr>
        <w:tc>
          <w:tcPr>
            <w:tcW w:w="9360" w:type="dxa"/>
            <w:tcBorders>
              <w:top w:val="single" w:sz="1" w:space="0" w:color="000000"/>
              <w:left w:val="single" w:sz="1" w:space="0" w:color="000000"/>
              <w:bottom w:val="single" w:sz="1" w:space="0" w:color="000000"/>
              <w:right w:val="single" w:sz="1" w:space="0" w:color="000000"/>
            </w:tcBorders>
          </w:tcPr>
          <w:p w14:paraId="30805FEC" w14:textId="77777777" w:rsidR="003C3F2F" w:rsidRDefault="00000000">
            <w:r>
              <w:t xml:space="preserve">Appraisal reports shall be completed within </w:t>
            </w:r>
            <w:r>
              <w:rPr>
                <w:b/>
                <w:bCs/>
              </w:rPr>
              <w:t>30 business days</w:t>
            </w:r>
            <w:r>
              <w:t xml:space="preserve"> from the later of:</w:t>
            </w:r>
          </w:p>
          <w:p w14:paraId="47ECBF4B" w14:textId="77777777" w:rsidR="003C3F2F" w:rsidRDefault="00000000">
            <w:pPr>
              <w:pStyle w:val="a4"/>
              <w:numPr>
                <w:ilvl w:val="0"/>
                <w:numId w:val="2"/>
              </w:numPr>
            </w:pPr>
            <w:r>
              <w:t>The date of signing this engagement, or</w:t>
            </w:r>
          </w:p>
          <w:p w14:paraId="607382ED" w14:textId="77777777" w:rsidR="003C3F2F" w:rsidRDefault="00000000">
            <w:pPr>
              <w:pStyle w:val="a4"/>
              <w:numPr>
                <w:ilvl w:val="0"/>
                <w:numId w:val="2"/>
              </w:numPr>
            </w:pPr>
            <w:r>
              <w:t>The date Client confirms the effective date of valuation</w:t>
            </w:r>
          </w:p>
          <w:p w14:paraId="4A72A067" w14:textId="77777777" w:rsidR="003C3F2F" w:rsidRDefault="00000000">
            <w:r>
              <w:rPr>
                <w:i/>
                <w:iCs/>
                <w:sz w:val="20"/>
                <w:szCs w:val="20"/>
              </w:rPr>
              <w:lastRenderedPageBreak/>
              <w:t>Note: Business days exclude weekends and Taiwan public holidays. Given the complexity and volume of properties (84 land parcels + 5 buildings across multiple districts), the 30-day timeline allows for thorough site inspections and analysis.</w:t>
            </w:r>
          </w:p>
        </w:tc>
      </w:tr>
    </w:tbl>
    <w:p w14:paraId="1D1EC5F5" w14:textId="77777777" w:rsidR="003C3F2F" w:rsidRDefault="003C3F2F"/>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gridCol w:w="360"/>
      </w:tblGrid>
      <w:tr w:rsidR="003C3F2F" w14:paraId="6602FA54" w14:textId="77777777">
        <w:tblPrEx>
          <w:tblCellMar>
            <w:top w:w="0" w:type="dxa"/>
            <w:bottom w:w="0" w:type="dxa"/>
          </w:tblCellMar>
        </w:tblPrEx>
        <w:tc>
          <w:tcPr>
            <w:tcW w:w="9360" w:type="dxa"/>
            <w:gridSpan w:val="2"/>
            <w:tcBorders>
              <w:top w:val="single" w:sz="1" w:space="0" w:color="000000"/>
              <w:left w:val="single" w:sz="1" w:space="0" w:color="000000"/>
              <w:bottom w:val="single" w:sz="1" w:space="0" w:color="000000"/>
              <w:right w:val="single" w:sz="1" w:space="0" w:color="000000"/>
            </w:tcBorders>
            <w:shd w:val="clear" w:color="auto" w:fill="D9E2F3"/>
          </w:tcPr>
          <w:p w14:paraId="409D1A33" w14:textId="77777777" w:rsidR="003C3F2F" w:rsidRDefault="00000000">
            <w:r>
              <w:rPr>
                <w:b/>
                <w:bCs/>
              </w:rPr>
              <w:t>VIII. OTHER TERMS AND CONDITIONS</w:t>
            </w:r>
          </w:p>
        </w:tc>
      </w:tr>
      <w:tr w:rsidR="003C3F2F" w14:paraId="6600BDCD" w14:textId="77777777">
        <w:tblPrEx>
          <w:tblCellMar>
            <w:top w:w="0" w:type="dxa"/>
            <w:bottom w:w="0" w:type="dxa"/>
          </w:tblCellMar>
        </w:tblPrEx>
        <w:trPr>
          <w:gridAfter w:val="1"/>
          <w:wAfter w:w="360" w:type="dxa"/>
        </w:trPr>
        <w:tc>
          <w:tcPr>
            <w:tcW w:w="9360" w:type="dxa"/>
            <w:tcBorders>
              <w:top w:val="single" w:sz="1" w:space="0" w:color="000000"/>
              <w:left w:val="single" w:sz="1" w:space="0" w:color="000000"/>
              <w:bottom w:val="single" w:sz="1" w:space="0" w:color="000000"/>
              <w:right w:val="single" w:sz="1" w:space="0" w:color="000000"/>
            </w:tcBorders>
          </w:tcPr>
          <w:p w14:paraId="1B4A669F" w14:textId="77777777" w:rsidR="003C3F2F" w:rsidRDefault="00000000">
            <w:pPr>
              <w:pStyle w:val="a4"/>
              <w:numPr>
                <w:ilvl w:val="0"/>
                <w:numId w:val="4"/>
              </w:numPr>
            </w:pPr>
            <w:r>
              <w:t>Pricing Basis: This quotation is based on normal conditions. If circumstances affecting property value are discovered during the appraisal process (e.g., litigation, environmental issues, structural defects), revised pricing may be required.</w:t>
            </w:r>
          </w:p>
          <w:p w14:paraId="104FB024" w14:textId="77777777" w:rsidR="003C3F2F" w:rsidRDefault="00000000">
            <w:pPr>
              <w:pStyle w:val="a4"/>
              <w:numPr>
                <w:ilvl w:val="0"/>
                <w:numId w:val="4"/>
              </w:numPr>
            </w:pPr>
            <w:r>
              <w:t>Fractional Ownership: The subject properties involve various fractional ownership interests. Our appraisal will address the value of the decedent's specific ownership share, with appropriate discount analysis where applicable under Taiwan market conditions.</w:t>
            </w:r>
          </w:p>
          <w:p w14:paraId="5C250867" w14:textId="77777777" w:rsidR="003C3F2F" w:rsidRDefault="00000000">
            <w:pPr>
              <w:pStyle w:val="a4"/>
              <w:numPr>
                <w:ilvl w:val="0"/>
                <w:numId w:val="4"/>
              </w:numPr>
            </w:pPr>
            <w:r>
              <w:t>Client Authorization: Client shall provide written authorization for Appraiser to obtain Taiwan land registry documents (land and building transcripts) on behalf of the property owner/estate.</w:t>
            </w:r>
          </w:p>
          <w:p w14:paraId="13C04185" w14:textId="77777777" w:rsidR="003C3F2F" w:rsidRDefault="00000000">
            <w:pPr>
              <w:pStyle w:val="a4"/>
              <w:numPr>
                <w:ilvl w:val="0"/>
                <w:numId w:val="4"/>
              </w:numPr>
            </w:pPr>
            <w:r>
              <w:t>Site Inspection: Appraiser will conduct exterior inspections of all properties. For building interiors, Client shall arrange access or designate a local contact person.</w:t>
            </w:r>
          </w:p>
          <w:p w14:paraId="519E4695" w14:textId="77777777" w:rsidR="003C3F2F" w:rsidRDefault="00000000">
            <w:pPr>
              <w:pStyle w:val="a4"/>
              <w:numPr>
                <w:ilvl w:val="0"/>
                <w:numId w:val="4"/>
              </w:numPr>
            </w:pPr>
            <w:r>
              <w:t>Appraisal Standards: This appraisal shall be conducted in accordance with the Real Estate Appraisal Regulations of the Republic of China (Taiwan). The report format will be suitable for submission to U.S. IRS, though it is prepared under Taiwan professional standards rather than USPAP.</w:t>
            </w:r>
          </w:p>
          <w:p w14:paraId="4006B5F8" w14:textId="77777777" w:rsidR="003C3F2F" w:rsidRDefault="00000000">
            <w:pPr>
              <w:pStyle w:val="a4"/>
              <w:numPr>
                <w:ilvl w:val="0"/>
                <w:numId w:val="4"/>
              </w:numPr>
            </w:pPr>
            <w:r>
              <w:t>Governing Law: This engagement shall be governed by the laws of the Republic of China (Taiwan).</w:t>
            </w:r>
          </w:p>
          <w:p w14:paraId="5C7FBDE3" w14:textId="77777777" w:rsidR="003C3F2F" w:rsidRDefault="00000000">
            <w:pPr>
              <w:pStyle w:val="a4"/>
              <w:numPr>
                <w:ilvl w:val="0"/>
                <w:numId w:val="4"/>
              </w:numPr>
            </w:pPr>
            <w:r>
              <w:t>Confidentiality: Appraiser shall maintain confidentiality of all client information and property details in accordance with professional standards.</w:t>
            </w:r>
          </w:p>
          <w:p w14:paraId="2BA4A2A7" w14:textId="77777777" w:rsidR="003C3F2F" w:rsidRDefault="00000000">
            <w:pPr>
              <w:pStyle w:val="a4"/>
              <w:numPr>
                <w:ilvl w:val="0"/>
                <w:numId w:val="4"/>
              </w:numPr>
            </w:pPr>
            <w:r>
              <w:t>Force Majeure: In the event of typhoons, earthquakes, pandemics, or other force majeure events affecting the work schedule, both parties shall negotiate an extension of the deadline.</w:t>
            </w:r>
          </w:p>
        </w:tc>
      </w:tr>
    </w:tbl>
    <w:p w14:paraId="457E5935" w14:textId="77777777" w:rsidR="003C3F2F" w:rsidRDefault="003C3F2F"/>
    <w:p w14:paraId="1B312A23" w14:textId="77777777" w:rsidR="003C3F2F" w:rsidRDefault="003C3F2F"/>
    <w:p w14:paraId="482A3910" w14:textId="77777777" w:rsidR="003C3F2F" w:rsidRDefault="00000000">
      <w:pPr>
        <w:jc w:val="center"/>
      </w:pPr>
      <w:r>
        <w:rPr>
          <w:b/>
          <w:bCs/>
          <w:sz w:val="24"/>
          <w:szCs w:val="24"/>
        </w:rPr>
        <w:t>SIGNATURES</w:t>
      </w:r>
    </w:p>
    <w:p w14:paraId="16DBE512" w14:textId="77777777" w:rsidR="003C3F2F" w:rsidRDefault="003C3F2F"/>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3C3F2F" w14:paraId="6B3F50AF" w14:textId="77777777">
        <w:tblPrEx>
          <w:tblCellMar>
            <w:top w:w="0" w:type="dxa"/>
            <w:bottom w:w="0" w:type="dxa"/>
          </w:tblCellMar>
        </w:tblPrEx>
        <w:tc>
          <w:tcPr>
            <w:tcW w:w="4680" w:type="dxa"/>
            <w:tcBorders>
              <w:top w:val="single" w:sz="1" w:space="0" w:color="000000"/>
              <w:left w:val="single" w:sz="1" w:space="0" w:color="000000"/>
              <w:bottom w:val="single" w:sz="1" w:space="0" w:color="000000"/>
              <w:right w:val="single" w:sz="1" w:space="0" w:color="000000"/>
            </w:tcBorders>
            <w:shd w:val="clear" w:color="auto" w:fill="D9E2F3"/>
          </w:tcPr>
          <w:p w14:paraId="0CEF973E" w14:textId="77777777" w:rsidR="003C3F2F" w:rsidRDefault="00000000">
            <w:pPr>
              <w:jc w:val="center"/>
            </w:pPr>
            <w:r>
              <w:rPr>
                <w:b/>
                <w:bCs/>
              </w:rPr>
              <w:t>CLIENT</w:t>
            </w:r>
          </w:p>
        </w:tc>
        <w:tc>
          <w:tcPr>
            <w:tcW w:w="4680" w:type="dxa"/>
            <w:tcBorders>
              <w:top w:val="single" w:sz="1" w:space="0" w:color="000000"/>
              <w:left w:val="single" w:sz="1" w:space="0" w:color="000000"/>
              <w:bottom w:val="single" w:sz="1" w:space="0" w:color="000000"/>
              <w:right w:val="single" w:sz="1" w:space="0" w:color="000000"/>
            </w:tcBorders>
            <w:shd w:val="clear" w:color="auto" w:fill="D9E2F3"/>
          </w:tcPr>
          <w:p w14:paraId="5E89E5BC" w14:textId="77777777" w:rsidR="003C3F2F" w:rsidRDefault="00000000">
            <w:pPr>
              <w:jc w:val="center"/>
            </w:pPr>
            <w:r>
              <w:rPr>
                <w:b/>
                <w:bCs/>
              </w:rPr>
              <w:t>APPRAISER</w:t>
            </w:r>
          </w:p>
        </w:tc>
      </w:tr>
      <w:tr w:rsidR="003C3F2F" w14:paraId="4074B152" w14:textId="77777777">
        <w:tblPrEx>
          <w:tblCellMar>
            <w:top w:w="0" w:type="dxa"/>
            <w:bottom w:w="0" w:type="dxa"/>
          </w:tblCellMar>
        </w:tblPrEx>
        <w:tc>
          <w:tcPr>
            <w:tcW w:w="4680" w:type="dxa"/>
            <w:tcBorders>
              <w:top w:val="single" w:sz="1" w:space="0" w:color="000000"/>
              <w:left w:val="single" w:sz="1" w:space="0" w:color="000000"/>
              <w:bottom w:val="single" w:sz="1" w:space="0" w:color="000000"/>
              <w:right w:val="single" w:sz="1" w:space="0" w:color="000000"/>
            </w:tcBorders>
          </w:tcPr>
          <w:p w14:paraId="77073F49" w14:textId="77777777" w:rsidR="003C3F2F" w:rsidRDefault="00000000">
            <w:r>
              <w:rPr>
                <w:b/>
                <w:bCs/>
              </w:rPr>
              <w:t>Libra Value Partners</w:t>
            </w:r>
          </w:p>
          <w:p w14:paraId="6C13BB25" w14:textId="77777777" w:rsidR="003C3F2F" w:rsidRDefault="003C3F2F"/>
          <w:p w14:paraId="4BFF5C5F" w14:textId="77777777" w:rsidR="003C3F2F" w:rsidRDefault="00000000">
            <w:r>
              <w:t>Gordon Lin, Managing Partner</w:t>
            </w:r>
          </w:p>
          <w:p w14:paraId="1E8791F0" w14:textId="77777777" w:rsidR="003C3F2F" w:rsidRDefault="003C3F2F"/>
          <w:p w14:paraId="51F66D77" w14:textId="77777777" w:rsidR="003C3F2F" w:rsidRDefault="00000000">
            <w:r>
              <w:t>Phone: 626.376.5544</w:t>
            </w:r>
          </w:p>
          <w:p w14:paraId="75D260CB" w14:textId="77777777" w:rsidR="003C3F2F" w:rsidRDefault="00000000">
            <w:r>
              <w:t>Email: glin@libravaluepartners.com</w:t>
            </w:r>
          </w:p>
          <w:p w14:paraId="22D84189" w14:textId="77777777" w:rsidR="003C3F2F" w:rsidRDefault="003C3F2F"/>
          <w:p w14:paraId="5D56ECED" w14:textId="77777777" w:rsidR="003C3F2F" w:rsidRDefault="00000000">
            <w:r>
              <w:t>Address: 15 Enterprise, Suite 250,</w:t>
            </w:r>
          </w:p>
          <w:p w14:paraId="6ACC16DD" w14:textId="77777777" w:rsidR="003C3F2F" w:rsidRDefault="00000000">
            <w:r>
              <w:t>Aliso Viejo, CA 92656</w:t>
            </w:r>
          </w:p>
          <w:p w14:paraId="3296032A" w14:textId="77777777" w:rsidR="003C3F2F" w:rsidRDefault="003C3F2F"/>
          <w:p w14:paraId="400424DF" w14:textId="77777777" w:rsidR="003C3F2F" w:rsidRDefault="00000000">
            <w:r>
              <w:t>Date: ___________________________</w:t>
            </w:r>
          </w:p>
          <w:p w14:paraId="7A0744D7" w14:textId="77777777" w:rsidR="003C3F2F" w:rsidRDefault="003C3F2F"/>
          <w:p w14:paraId="03E8F767" w14:textId="77777777" w:rsidR="003C3F2F" w:rsidRDefault="00000000">
            <w:r>
              <w:t>Signature: _______________________</w:t>
            </w:r>
          </w:p>
        </w:tc>
        <w:tc>
          <w:tcPr>
            <w:tcW w:w="4680" w:type="dxa"/>
            <w:tcBorders>
              <w:top w:val="single" w:sz="1" w:space="0" w:color="000000"/>
              <w:left w:val="single" w:sz="1" w:space="0" w:color="000000"/>
              <w:bottom w:val="single" w:sz="1" w:space="0" w:color="000000"/>
              <w:right w:val="single" w:sz="1" w:space="0" w:color="000000"/>
            </w:tcBorders>
          </w:tcPr>
          <w:p w14:paraId="1B67D14F" w14:textId="77777777" w:rsidR="003C3F2F" w:rsidRDefault="00000000">
            <w:r>
              <w:rPr>
                <w:b/>
                <w:bCs/>
              </w:rPr>
              <w:t>Hannah Real Estate Appraisers</w:t>
            </w:r>
          </w:p>
          <w:p w14:paraId="78D58196" w14:textId="77777777" w:rsidR="003C3F2F" w:rsidRDefault="00000000">
            <w:r>
              <w:rPr>
                <w:rFonts w:ascii="微軟正黑體" w:eastAsia="微軟正黑體" w:hAnsi="微軟正黑體" w:cs="微軟正黑體"/>
                <w:sz w:val="20"/>
                <w:szCs w:val="20"/>
              </w:rPr>
              <w:t>漢</w:t>
            </w:r>
            <w:proofErr w:type="gramStart"/>
            <w:r>
              <w:rPr>
                <w:rFonts w:ascii="微軟正黑體" w:eastAsia="微軟正黑體" w:hAnsi="微軟正黑體" w:cs="微軟正黑體"/>
                <w:sz w:val="20"/>
                <w:szCs w:val="20"/>
              </w:rPr>
              <w:t>娜</w:t>
            </w:r>
            <w:proofErr w:type="gramEnd"/>
            <w:r>
              <w:rPr>
                <w:rFonts w:ascii="微軟正黑體" w:eastAsia="微軟正黑體" w:hAnsi="微軟正黑體" w:cs="微軟正黑體"/>
                <w:sz w:val="20"/>
                <w:szCs w:val="20"/>
              </w:rPr>
              <w:t>不動產估價師聯合事務所</w:t>
            </w:r>
          </w:p>
          <w:p w14:paraId="31D9590B" w14:textId="77777777" w:rsidR="003C3F2F" w:rsidRDefault="003C3F2F"/>
          <w:p w14:paraId="7A39D714" w14:textId="77777777" w:rsidR="003C3F2F" w:rsidRDefault="00000000">
            <w:r>
              <w:t>Contact: Ms. Li</w:t>
            </w:r>
          </w:p>
          <w:p w14:paraId="17FD2389" w14:textId="77777777" w:rsidR="003C3F2F" w:rsidRDefault="00000000">
            <w:r>
              <w:t>Email: service@hre.tw</w:t>
            </w:r>
          </w:p>
          <w:p w14:paraId="65490F9D" w14:textId="77777777" w:rsidR="003C3F2F" w:rsidRDefault="00000000">
            <w:r>
              <w:t>Phone: +886-2-8811-1468 ext. 301</w:t>
            </w:r>
          </w:p>
          <w:p w14:paraId="3EE8F9DD" w14:textId="77777777" w:rsidR="003C3F2F" w:rsidRDefault="00000000">
            <w:r>
              <w:t>Fax: +886-2-8811-1408</w:t>
            </w:r>
          </w:p>
          <w:p w14:paraId="0AC6687B" w14:textId="77777777" w:rsidR="003C3F2F" w:rsidRDefault="003C3F2F"/>
          <w:p w14:paraId="78A2FE50" w14:textId="77777777" w:rsidR="003C3F2F" w:rsidRDefault="00000000">
            <w:r>
              <w:t xml:space="preserve">Address: 1F, No. 177, </w:t>
            </w:r>
            <w:proofErr w:type="spellStart"/>
            <w:r>
              <w:t>Jiuquan</w:t>
            </w:r>
            <w:proofErr w:type="spellEnd"/>
            <w:r>
              <w:t xml:space="preserve"> St.,</w:t>
            </w:r>
          </w:p>
          <w:p w14:paraId="200335C8" w14:textId="77777777" w:rsidR="003C3F2F" w:rsidRDefault="00000000">
            <w:r>
              <w:t>Datong Dist., Taipei City, Taiwan</w:t>
            </w:r>
          </w:p>
          <w:p w14:paraId="3632F0BB" w14:textId="77777777" w:rsidR="003C3F2F" w:rsidRDefault="003C3F2F"/>
          <w:p w14:paraId="5B49FCD0" w14:textId="77777777" w:rsidR="003C3F2F" w:rsidRDefault="00000000">
            <w:r>
              <w:t>Signature: _______________________</w:t>
            </w:r>
          </w:p>
        </w:tc>
      </w:tr>
    </w:tbl>
    <w:p w14:paraId="57C376FF" w14:textId="77777777" w:rsidR="003C3F2F" w:rsidRDefault="003C3F2F"/>
    <w:p w14:paraId="00B8F72C" w14:textId="77777777" w:rsidR="003C3F2F" w:rsidRDefault="00000000">
      <w:pPr>
        <w:jc w:val="center"/>
      </w:pPr>
      <w:r>
        <w:rPr>
          <w:b/>
          <w:bCs/>
        </w:rPr>
        <w:t>Please sign and return this proposal to confirm engagement.</w:t>
      </w:r>
    </w:p>
    <w:sectPr w:rsidR="003C3F2F">
      <w:headerReference w:type="default" r:id="rId7"/>
      <w:footerReference w:type="default" r:id="rId8"/>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0A4A5" w14:textId="77777777" w:rsidR="001E62CC" w:rsidRDefault="001E62CC">
      <w:pPr>
        <w:spacing w:after="0"/>
      </w:pPr>
      <w:r>
        <w:separator/>
      </w:r>
    </w:p>
  </w:endnote>
  <w:endnote w:type="continuationSeparator" w:id="0">
    <w:p w14:paraId="6ACD2822" w14:textId="77777777" w:rsidR="001E62CC" w:rsidRDefault="001E62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D3B4" w14:textId="77777777" w:rsidR="003C3F2F" w:rsidRDefault="00000000">
    <w:pPr>
      <w:jc w:val="center"/>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sidR="00976DA5">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sidR="00976DA5">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33155" w14:textId="77777777" w:rsidR="001E62CC" w:rsidRDefault="001E62CC">
      <w:pPr>
        <w:spacing w:after="0"/>
      </w:pPr>
      <w:r>
        <w:separator/>
      </w:r>
    </w:p>
  </w:footnote>
  <w:footnote w:type="continuationSeparator" w:id="0">
    <w:p w14:paraId="6F965D6A" w14:textId="77777777" w:rsidR="001E62CC" w:rsidRDefault="001E62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96D3" w14:textId="77777777" w:rsidR="003C3F2F" w:rsidRDefault="00000000">
    <w:pPr>
      <w:jc w:val="center"/>
    </w:pPr>
    <w:r>
      <w:rPr>
        <w:b/>
        <w:bCs/>
        <w:sz w:val="28"/>
        <w:szCs w:val="28"/>
      </w:rPr>
      <w:t>HANNAH REAL ESTATE APPRAISERS</w:t>
    </w:r>
  </w:p>
  <w:p w14:paraId="55BFE8DA" w14:textId="77777777" w:rsidR="003C3F2F" w:rsidRDefault="00000000">
    <w:pPr>
      <w:spacing w:after="120"/>
      <w:jc w:val="center"/>
    </w:pPr>
    <w:r>
      <w:rPr>
        <w:rFonts w:ascii="微軟正黑體" w:eastAsia="微軟正黑體" w:hAnsi="微軟正黑體" w:cs="微軟正黑體"/>
        <w:sz w:val="20"/>
        <w:szCs w:val="20"/>
      </w:rPr>
      <w:t>漢</w:t>
    </w:r>
    <w:proofErr w:type="gramStart"/>
    <w:r>
      <w:rPr>
        <w:rFonts w:ascii="微軟正黑體" w:eastAsia="微軟正黑體" w:hAnsi="微軟正黑體" w:cs="微軟正黑體"/>
        <w:sz w:val="20"/>
        <w:szCs w:val="20"/>
      </w:rPr>
      <w:t>娜</w:t>
    </w:r>
    <w:proofErr w:type="gramEnd"/>
    <w:r>
      <w:rPr>
        <w:rFonts w:ascii="微軟正黑體" w:eastAsia="微軟正黑體" w:hAnsi="微軟正黑體" w:cs="微軟正黑體"/>
        <w:sz w:val="20"/>
        <w:szCs w:val="20"/>
      </w:rPr>
      <w:t>不動產估價師聯合事務所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31B35"/>
    <w:multiLevelType w:val="hybridMultilevel"/>
    <w:tmpl w:val="122EB0C0"/>
    <w:lvl w:ilvl="0" w:tplc="48266394">
      <w:start w:val="1"/>
      <w:numFmt w:val="bullet"/>
      <w:lvlText w:val="●"/>
      <w:lvlJc w:val="left"/>
      <w:pPr>
        <w:ind w:left="720" w:hanging="360"/>
      </w:pPr>
    </w:lvl>
    <w:lvl w:ilvl="1" w:tplc="99EA4840">
      <w:start w:val="1"/>
      <w:numFmt w:val="bullet"/>
      <w:lvlText w:val="○"/>
      <w:lvlJc w:val="left"/>
      <w:pPr>
        <w:ind w:left="1440" w:hanging="360"/>
      </w:pPr>
    </w:lvl>
    <w:lvl w:ilvl="2" w:tplc="4D6A4D6C">
      <w:start w:val="1"/>
      <w:numFmt w:val="bullet"/>
      <w:lvlText w:val="■"/>
      <w:lvlJc w:val="left"/>
      <w:pPr>
        <w:ind w:left="2160" w:hanging="360"/>
      </w:pPr>
    </w:lvl>
    <w:lvl w:ilvl="3" w:tplc="790AF112">
      <w:start w:val="1"/>
      <w:numFmt w:val="bullet"/>
      <w:lvlText w:val="●"/>
      <w:lvlJc w:val="left"/>
      <w:pPr>
        <w:ind w:left="2880" w:hanging="360"/>
      </w:pPr>
    </w:lvl>
    <w:lvl w:ilvl="4" w:tplc="01ECFFE4">
      <w:start w:val="1"/>
      <w:numFmt w:val="bullet"/>
      <w:lvlText w:val="○"/>
      <w:lvlJc w:val="left"/>
      <w:pPr>
        <w:ind w:left="3600" w:hanging="360"/>
      </w:pPr>
    </w:lvl>
    <w:lvl w:ilvl="5" w:tplc="67DA8F32">
      <w:start w:val="1"/>
      <w:numFmt w:val="bullet"/>
      <w:lvlText w:val="■"/>
      <w:lvlJc w:val="left"/>
      <w:pPr>
        <w:ind w:left="4320" w:hanging="360"/>
      </w:pPr>
    </w:lvl>
    <w:lvl w:ilvl="6" w:tplc="E4787BB0">
      <w:start w:val="1"/>
      <w:numFmt w:val="bullet"/>
      <w:lvlText w:val="●"/>
      <w:lvlJc w:val="left"/>
      <w:pPr>
        <w:ind w:left="5040" w:hanging="360"/>
      </w:pPr>
    </w:lvl>
    <w:lvl w:ilvl="7" w:tplc="9C34E24E">
      <w:start w:val="1"/>
      <w:numFmt w:val="bullet"/>
      <w:lvlText w:val="●"/>
      <w:lvlJc w:val="left"/>
      <w:pPr>
        <w:ind w:left="5760" w:hanging="360"/>
      </w:pPr>
    </w:lvl>
    <w:lvl w:ilvl="8" w:tplc="8570B3D0">
      <w:start w:val="1"/>
      <w:numFmt w:val="bullet"/>
      <w:lvlText w:val="●"/>
      <w:lvlJc w:val="left"/>
      <w:pPr>
        <w:ind w:left="6480" w:hanging="360"/>
      </w:pPr>
    </w:lvl>
  </w:abstractNum>
  <w:abstractNum w:abstractNumId="1" w15:restartNumberingAfterBreak="0">
    <w:nsid w:val="41D7063C"/>
    <w:multiLevelType w:val="hybridMultilevel"/>
    <w:tmpl w:val="B0649604"/>
    <w:lvl w:ilvl="0" w:tplc="C00AF720">
      <w:start w:val="1"/>
      <w:numFmt w:val="decimal"/>
      <w:lvlText w:val="%1."/>
      <w:lvlJc w:val="left"/>
      <w:pPr>
        <w:ind w:left="720" w:hanging="360"/>
      </w:pPr>
    </w:lvl>
    <w:lvl w:ilvl="1" w:tplc="23A85C54">
      <w:numFmt w:val="decimal"/>
      <w:lvlText w:val=""/>
      <w:lvlJc w:val="left"/>
    </w:lvl>
    <w:lvl w:ilvl="2" w:tplc="995A9A86">
      <w:numFmt w:val="decimal"/>
      <w:lvlText w:val=""/>
      <w:lvlJc w:val="left"/>
    </w:lvl>
    <w:lvl w:ilvl="3" w:tplc="9162D760">
      <w:numFmt w:val="decimal"/>
      <w:lvlText w:val=""/>
      <w:lvlJc w:val="left"/>
    </w:lvl>
    <w:lvl w:ilvl="4" w:tplc="31C49E78">
      <w:numFmt w:val="decimal"/>
      <w:lvlText w:val=""/>
      <w:lvlJc w:val="left"/>
    </w:lvl>
    <w:lvl w:ilvl="5" w:tplc="EEB679A6">
      <w:numFmt w:val="decimal"/>
      <w:lvlText w:val=""/>
      <w:lvlJc w:val="left"/>
    </w:lvl>
    <w:lvl w:ilvl="6" w:tplc="5C6024A6">
      <w:numFmt w:val="decimal"/>
      <w:lvlText w:val=""/>
      <w:lvlJc w:val="left"/>
    </w:lvl>
    <w:lvl w:ilvl="7" w:tplc="7220A09E">
      <w:numFmt w:val="decimal"/>
      <w:lvlText w:val=""/>
      <w:lvlJc w:val="left"/>
    </w:lvl>
    <w:lvl w:ilvl="8" w:tplc="3FCCEFB8">
      <w:numFmt w:val="decimal"/>
      <w:lvlText w:val=""/>
      <w:lvlJc w:val="left"/>
    </w:lvl>
  </w:abstractNum>
  <w:abstractNum w:abstractNumId="2" w15:restartNumberingAfterBreak="0">
    <w:nsid w:val="630341A8"/>
    <w:multiLevelType w:val="hybridMultilevel"/>
    <w:tmpl w:val="F68E3198"/>
    <w:lvl w:ilvl="0" w:tplc="E33E61B2">
      <w:start w:val="1"/>
      <w:numFmt w:val="bullet"/>
      <w:lvlText w:val="•"/>
      <w:lvlJc w:val="left"/>
      <w:pPr>
        <w:ind w:left="720" w:hanging="360"/>
      </w:pPr>
    </w:lvl>
    <w:lvl w:ilvl="1" w:tplc="5D44576E">
      <w:numFmt w:val="decimal"/>
      <w:lvlText w:val=""/>
      <w:lvlJc w:val="left"/>
    </w:lvl>
    <w:lvl w:ilvl="2" w:tplc="81B696FC">
      <w:numFmt w:val="decimal"/>
      <w:lvlText w:val=""/>
      <w:lvlJc w:val="left"/>
    </w:lvl>
    <w:lvl w:ilvl="3" w:tplc="EA0453AC">
      <w:numFmt w:val="decimal"/>
      <w:lvlText w:val=""/>
      <w:lvlJc w:val="left"/>
    </w:lvl>
    <w:lvl w:ilvl="4" w:tplc="3DB24164">
      <w:numFmt w:val="decimal"/>
      <w:lvlText w:val=""/>
      <w:lvlJc w:val="left"/>
    </w:lvl>
    <w:lvl w:ilvl="5" w:tplc="262020B8">
      <w:numFmt w:val="decimal"/>
      <w:lvlText w:val=""/>
      <w:lvlJc w:val="left"/>
    </w:lvl>
    <w:lvl w:ilvl="6" w:tplc="760C442A">
      <w:numFmt w:val="decimal"/>
      <w:lvlText w:val=""/>
      <w:lvlJc w:val="left"/>
    </w:lvl>
    <w:lvl w:ilvl="7" w:tplc="5230796C">
      <w:numFmt w:val="decimal"/>
      <w:lvlText w:val=""/>
      <w:lvlJc w:val="left"/>
    </w:lvl>
    <w:lvl w:ilvl="8" w:tplc="BFD4C384">
      <w:numFmt w:val="decimal"/>
      <w:lvlText w:val=""/>
      <w:lvlJc w:val="left"/>
    </w:lvl>
  </w:abstractNum>
  <w:abstractNum w:abstractNumId="3" w15:restartNumberingAfterBreak="0">
    <w:nsid w:val="70A65AE5"/>
    <w:multiLevelType w:val="hybridMultilevel"/>
    <w:tmpl w:val="9CDEA01A"/>
    <w:lvl w:ilvl="0" w:tplc="9DA42A96">
      <w:start w:val="1"/>
      <w:numFmt w:val="decimal"/>
      <w:lvlText w:val="%1."/>
      <w:lvlJc w:val="left"/>
      <w:pPr>
        <w:ind w:left="720" w:hanging="360"/>
      </w:pPr>
    </w:lvl>
    <w:lvl w:ilvl="1" w:tplc="2F0E9A10">
      <w:numFmt w:val="decimal"/>
      <w:lvlText w:val=""/>
      <w:lvlJc w:val="left"/>
    </w:lvl>
    <w:lvl w:ilvl="2" w:tplc="F7A287D2">
      <w:numFmt w:val="decimal"/>
      <w:lvlText w:val=""/>
      <w:lvlJc w:val="left"/>
    </w:lvl>
    <w:lvl w:ilvl="3" w:tplc="FE3E1A28">
      <w:numFmt w:val="decimal"/>
      <w:lvlText w:val=""/>
      <w:lvlJc w:val="left"/>
    </w:lvl>
    <w:lvl w:ilvl="4" w:tplc="CFD47882">
      <w:numFmt w:val="decimal"/>
      <w:lvlText w:val=""/>
      <w:lvlJc w:val="left"/>
    </w:lvl>
    <w:lvl w:ilvl="5" w:tplc="AA728A3A">
      <w:numFmt w:val="decimal"/>
      <w:lvlText w:val=""/>
      <w:lvlJc w:val="left"/>
    </w:lvl>
    <w:lvl w:ilvl="6" w:tplc="65F62B0E">
      <w:numFmt w:val="decimal"/>
      <w:lvlText w:val=""/>
      <w:lvlJc w:val="left"/>
    </w:lvl>
    <w:lvl w:ilvl="7" w:tplc="20B8BA00">
      <w:numFmt w:val="decimal"/>
      <w:lvlText w:val=""/>
      <w:lvlJc w:val="left"/>
    </w:lvl>
    <w:lvl w:ilvl="8" w:tplc="059C86AC">
      <w:numFmt w:val="decimal"/>
      <w:lvlText w:val=""/>
      <w:lvlJc w:val="left"/>
    </w:lvl>
  </w:abstractNum>
  <w:num w:numId="1" w16cid:durableId="438330359">
    <w:abstractNumId w:val="0"/>
    <w:lvlOverride w:ilvl="0">
      <w:startOverride w:val="1"/>
    </w:lvlOverride>
  </w:num>
  <w:num w:numId="2" w16cid:durableId="1921598275">
    <w:abstractNumId w:val="2"/>
    <w:lvlOverride w:ilvl="0">
      <w:startOverride w:val="1"/>
    </w:lvlOverride>
  </w:num>
  <w:num w:numId="3" w16cid:durableId="335965305">
    <w:abstractNumId w:val="1"/>
    <w:lvlOverride w:ilvl="0">
      <w:startOverride w:val="1"/>
    </w:lvlOverride>
  </w:num>
  <w:num w:numId="4" w16cid:durableId="92753775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F2F"/>
    <w:rsid w:val="001E62CC"/>
    <w:rsid w:val="003C3F2F"/>
    <w:rsid w:val="005C30A0"/>
    <w:rsid w:val="008112C7"/>
    <w:rsid w:val="00976DA5"/>
    <w:rsid w:val="00B041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DDE70"/>
  <w15:docId w15:val="{37EFD29A-5EAC-44F9-982C-B8DE5CB7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0"/>
    </w:pPr>
    <w:rPr>
      <w:rFonts w:eastAsia="Arial"/>
    </w:rPr>
  </w:style>
  <w:style w:type="paragraph" w:styleId="1">
    <w:name w:val="heading 1"/>
    <w:basedOn w:val="a"/>
    <w:next w:val="a"/>
    <w:uiPriority w:val="9"/>
    <w:qFormat/>
    <w:pPr>
      <w:outlineLvl w:val="0"/>
    </w:pPr>
    <w:rPr>
      <w:color w:val="2E74B5"/>
      <w:sz w:val="32"/>
      <w:szCs w:val="32"/>
    </w:rPr>
  </w:style>
  <w:style w:type="paragraph" w:styleId="2">
    <w:name w:val="heading 2"/>
    <w:basedOn w:val="a"/>
    <w:next w:val="a"/>
    <w:uiPriority w:val="9"/>
    <w:semiHidden/>
    <w:unhideWhenUsed/>
    <w:qFormat/>
    <w:pPr>
      <w:outlineLvl w:val="1"/>
    </w:pPr>
    <w:rPr>
      <w:color w:val="2E74B5"/>
      <w:sz w:val="26"/>
      <w:szCs w:val="26"/>
    </w:rPr>
  </w:style>
  <w:style w:type="paragraph" w:styleId="3">
    <w:name w:val="heading 3"/>
    <w:basedOn w:val="a"/>
    <w:next w:val="a"/>
    <w:uiPriority w:val="9"/>
    <w:semiHidden/>
    <w:unhideWhenUsed/>
    <w:qFormat/>
    <w:pPr>
      <w:outlineLvl w:val="2"/>
    </w:pPr>
    <w:rPr>
      <w:color w:val="1F4D78"/>
      <w:sz w:val="24"/>
      <w:szCs w:val="24"/>
    </w:rPr>
  </w:style>
  <w:style w:type="paragraph" w:styleId="4">
    <w:name w:val="heading 4"/>
    <w:basedOn w:val="a"/>
    <w:next w:val="a"/>
    <w:uiPriority w:val="9"/>
    <w:semiHidden/>
    <w:unhideWhenUsed/>
    <w:qFormat/>
    <w:pPr>
      <w:outlineLvl w:val="3"/>
    </w:pPr>
    <w:rPr>
      <w:i/>
      <w:iCs/>
      <w:color w:val="2E74B5"/>
    </w:rPr>
  </w:style>
  <w:style w:type="paragraph" w:styleId="5">
    <w:name w:val="heading 5"/>
    <w:basedOn w:val="a"/>
    <w:next w:val="a"/>
    <w:uiPriority w:val="9"/>
    <w:semiHidden/>
    <w:unhideWhenUsed/>
    <w:qFormat/>
    <w:pPr>
      <w:outlineLvl w:val="4"/>
    </w:pPr>
    <w:rPr>
      <w:color w:val="2E74B5"/>
    </w:rPr>
  </w:style>
  <w:style w:type="paragraph" w:styleId="6">
    <w:name w:val="heading 6"/>
    <w:basedOn w:val="a"/>
    <w:next w:val="a"/>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spacing w:after="120"/>
      <w:jc w:val="center"/>
    </w:pPr>
    <w:rPr>
      <w:b/>
      <w:bCs/>
      <w:sz w:val="36"/>
      <w:szCs w:val="36"/>
    </w:rPr>
  </w:style>
  <w:style w:type="paragraph" w:customStyle="1" w:styleId="10">
    <w:name w:val="強調粗體1"/>
    <w:basedOn w:val="a"/>
    <w:next w:val="a"/>
    <w:qFormat/>
    <w:rPr>
      <w:b/>
      <w:bCs/>
    </w:rPr>
  </w:style>
  <w:style w:type="paragraph" w:styleId="a4">
    <w:name w:val="List Paragraph"/>
    <w:basedOn w:val="a"/>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basedOn w:val="a"/>
    <w:link w:val="a8"/>
    <w:uiPriority w:val="99"/>
    <w:semiHidden/>
    <w:unhideWhenUsed/>
    <w:pPr>
      <w:spacing w:after="0"/>
    </w:pPr>
    <w:rPr>
      <w:sz w:val="20"/>
      <w:szCs w:val="20"/>
    </w:rPr>
  </w:style>
  <w:style w:type="character" w:customStyle="1" w:styleId="a8">
    <w:name w:val="註腳文字 字元"/>
    <w:link w:val="a7"/>
    <w:uiPriority w:val="99"/>
    <w:semiHidden/>
    <w:unhideWhenUsed/>
    <w:rPr>
      <w:sz w:val="20"/>
      <w:szCs w:val="20"/>
    </w:rPr>
  </w:style>
  <w:style w:type="paragraph" w:styleId="a9">
    <w:name w:val="header"/>
    <w:basedOn w:val="a"/>
    <w:link w:val="aa"/>
    <w:uiPriority w:val="99"/>
    <w:unhideWhenUsed/>
    <w:rsid w:val="00976DA5"/>
    <w:pPr>
      <w:tabs>
        <w:tab w:val="center" w:pos="4153"/>
        <w:tab w:val="right" w:pos="8306"/>
      </w:tabs>
      <w:snapToGrid w:val="0"/>
    </w:pPr>
    <w:rPr>
      <w:sz w:val="20"/>
      <w:szCs w:val="20"/>
    </w:rPr>
  </w:style>
  <w:style w:type="character" w:customStyle="1" w:styleId="aa">
    <w:name w:val="頁首 字元"/>
    <w:basedOn w:val="a0"/>
    <w:link w:val="a9"/>
    <w:uiPriority w:val="99"/>
    <w:rsid w:val="00976DA5"/>
    <w:rPr>
      <w:rFonts w:eastAsia="Arial"/>
      <w:sz w:val="20"/>
      <w:szCs w:val="20"/>
    </w:rPr>
  </w:style>
  <w:style w:type="paragraph" w:styleId="ab">
    <w:name w:val="footer"/>
    <w:basedOn w:val="a"/>
    <w:link w:val="ac"/>
    <w:uiPriority w:val="99"/>
    <w:unhideWhenUsed/>
    <w:rsid w:val="00976DA5"/>
    <w:pPr>
      <w:tabs>
        <w:tab w:val="center" w:pos="4153"/>
        <w:tab w:val="right" w:pos="8306"/>
      </w:tabs>
      <w:snapToGrid w:val="0"/>
    </w:pPr>
    <w:rPr>
      <w:sz w:val="20"/>
      <w:szCs w:val="20"/>
    </w:rPr>
  </w:style>
  <w:style w:type="character" w:customStyle="1" w:styleId="ac">
    <w:name w:val="頁尾 字元"/>
    <w:basedOn w:val="a0"/>
    <w:link w:val="ab"/>
    <w:uiPriority w:val="99"/>
    <w:rsid w:val="00976DA5"/>
    <w:rPr>
      <w:rFonts w:eastAsia="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918</Words>
  <Characters>5353</Characters>
  <Application>Microsoft Office Word</Application>
  <DocSecurity>0</DocSecurity>
  <Lines>214</Lines>
  <Paragraphs>165</Paragraphs>
  <ScaleCrop>false</ScaleCrop>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Chen Kai Liu</cp:lastModifiedBy>
  <cp:revision>3</cp:revision>
  <dcterms:created xsi:type="dcterms:W3CDTF">2026-01-14T15:47:00Z</dcterms:created>
  <dcterms:modified xsi:type="dcterms:W3CDTF">2026-01-14T16:01:00Z</dcterms:modified>
</cp:coreProperties>
</file>